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FF7DB" w14:textId="4189F734" w:rsidR="00BD13CD" w:rsidRDefault="00BD13CD" w:rsidP="00BD13CD">
      <w:pPr>
        <w:spacing w:after="0" w:line="240" w:lineRule="auto"/>
        <w:jc w:val="center"/>
      </w:pPr>
      <w:r>
        <w:rPr>
          <w:noProof/>
        </w:rPr>
        <w:drawing>
          <wp:inline distT="0" distB="0" distL="0" distR="0" wp14:anchorId="64DD614D" wp14:editId="592AD07D">
            <wp:extent cx="2902893" cy="8839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61490" cy="901763"/>
                    </a:xfrm>
                    <a:prstGeom prst="rect">
                      <a:avLst/>
                    </a:prstGeom>
                  </pic:spPr>
                </pic:pic>
              </a:graphicData>
            </a:graphic>
          </wp:inline>
        </w:drawing>
      </w:r>
    </w:p>
    <w:p w14:paraId="58720467" w14:textId="77777777" w:rsidR="00BD13CD" w:rsidRDefault="00BD13CD" w:rsidP="00D37B1F">
      <w:pPr>
        <w:spacing w:after="0" w:line="240" w:lineRule="auto"/>
        <w:jc w:val="both"/>
      </w:pPr>
    </w:p>
    <w:p w14:paraId="28563693" w14:textId="77777777" w:rsidR="00BD13CD" w:rsidRDefault="00BD13CD" w:rsidP="00D37B1F">
      <w:pPr>
        <w:spacing w:after="0" w:line="240" w:lineRule="auto"/>
        <w:jc w:val="both"/>
      </w:pPr>
    </w:p>
    <w:p w14:paraId="723E011E" w14:textId="4AB8A31C" w:rsidR="007C15D7" w:rsidRPr="00E849DD" w:rsidRDefault="005111F8" w:rsidP="00D37B1F">
      <w:pPr>
        <w:spacing w:after="0" w:line="240" w:lineRule="auto"/>
        <w:jc w:val="both"/>
      </w:pPr>
      <w:r w:rsidRPr="00E849DD">
        <w:t xml:space="preserve">Dear members, </w:t>
      </w:r>
    </w:p>
    <w:p w14:paraId="564D3362" w14:textId="77777777" w:rsidR="00D37B1F" w:rsidRPr="00E849DD" w:rsidRDefault="00D37B1F" w:rsidP="00D37B1F">
      <w:pPr>
        <w:spacing w:after="0" w:line="240" w:lineRule="auto"/>
        <w:jc w:val="both"/>
      </w:pPr>
    </w:p>
    <w:p w14:paraId="16A74279" w14:textId="615A0A62" w:rsidR="00C82077" w:rsidRPr="00E849DD" w:rsidRDefault="005111F8" w:rsidP="00D37B1F">
      <w:pPr>
        <w:spacing w:after="0" w:line="240" w:lineRule="auto"/>
        <w:jc w:val="both"/>
        <w:rPr>
          <w:i/>
          <w:iCs/>
        </w:rPr>
      </w:pPr>
      <w:r w:rsidRPr="00E849DD">
        <w:t xml:space="preserve">I am writing to update you regarding some of the most pertinent aspects of the 2021/22 </w:t>
      </w:r>
      <w:r w:rsidR="000F0CBD" w:rsidRPr="00E849DD">
        <w:t xml:space="preserve">NHS </w:t>
      </w:r>
      <w:r w:rsidRPr="00E849DD">
        <w:t xml:space="preserve">priorities and operational planning guidance. NHS England describes how it </w:t>
      </w:r>
      <w:r w:rsidR="000C5414" w:rsidRPr="00E849DD">
        <w:rPr>
          <w:i/>
          <w:iCs/>
        </w:rPr>
        <w:t>"</w:t>
      </w:r>
      <w:r w:rsidRPr="00E849DD">
        <w:rPr>
          <w:i/>
          <w:iCs/>
        </w:rPr>
        <w:t>sets the priorities for the year ahead, against a backdrop of the challenge to restore services, meet new care demands and reduce the care backlogs that are a direct consequence of the pandemic, whilst supporting staff recovery and taking further steps to address inequalities in access, experience and outcomes.</w:t>
      </w:r>
      <w:r w:rsidR="000C5414" w:rsidRPr="00E849DD">
        <w:rPr>
          <w:i/>
          <w:iCs/>
        </w:rPr>
        <w:t>"</w:t>
      </w:r>
    </w:p>
    <w:p w14:paraId="2E2BCCBC" w14:textId="77777777" w:rsidR="00D37B1F" w:rsidRPr="00E849DD" w:rsidRDefault="00D37B1F" w:rsidP="00D37B1F">
      <w:pPr>
        <w:spacing w:after="0" w:line="240" w:lineRule="auto"/>
        <w:jc w:val="both"/>
        <w:rPr>
          <w:i/>
          <w:iCs/>
        </w:rPr>
      </w:pPr>
    </w:p>
    <w:p w14:paraId="2D3046DE" w14:textId="64F05C01" w:rsidR="005111F8" w:rsidRPr="00E849DD" w:rsidRDefault="005111F8" w:rsidP="00D37B1F">
      <w:pPr>
        <w:spacing w:after="0" w:line="240" w:lineRule="auto"/>
        <w:jc w:val="both"/>
      </w:pPr>
      <w:r w:rsidRPr="00E849DD">
        <w:t>Firstly, it is worth stat</w:t>
      </w:r>
      <w:r w:rsidR="00F16748" w:rsidRPr="00E849DD">
        <w:t>ing</w:t>
      </w:r>
      <w:r w:rsidRPr="00E849DD">
        <w:t xml:space="preserve"> that the</w:t>
      </w:r>
      <w:r w:rsidR="00D1097E" w:rsidRPr="00E849DD">
        <w:t xml:space="preserve"> overall financial settlement</w:t>
      </w:r>
      <w:r w:rsidRPr="00E849DD">
        <w:t xml:space="preserve"> only covers the first </w:t>
      </w:r>
      <w:r w:rsidR="000C5414" w:rsidRPr="00E849DD">
        <w:t>six</w:t>
      </w:r>
      <w:r w:rsidRPr="00E849DD">
        <w:t xml:space="preserve"> months of this financial year (21/22).</w:t>
      </w:r>
      <w:r w:rsidR="00E151EA" w:rsidRPr="00E849DD">
        <w:t xml:space="preserve"> </w:t>
      </w:r>
      <w:r w:rsidR="00E26CA0" w:rsidRPr="00E849DD">
        <w:t xml:space="preserve">Whilst </w:t>
      </w:r>
      <w:r w:rsidR="000C5414" w:rsidRPr="00E849DD">
        <w:t>"</w:t>
      </w:r>
      <w:r w:rsidR="00E26CA0" w:rsidRPr="00E849DD">
        <w:rPr>
          <w:i/>
          <w:iCs/>
        </w:rPr>
        <w:t>t</w:t>
      </w:r>
      <w:r w:rsidR="00E151EA" w:rsidRPr="00E849DD">
        <w:rPr>
          <w:i/>
          <w:iCs/>
        </w:rPr>
        <w:t xml:space="preserve">he financial settlement for months 7-12 will be agreed once there </w:t>
      </w:r>
      <w:r w:rsidR="000C5414" w:rsidRPr="00E849DD">
        <w:rPr>
          <w:i/>
          <w:iCs/>
        </w:rPr>
        <w:t>is greater</w:t>
      </w:r>
      <w:r w:rsidR="00E151EA" w:rsidRPr="00E849DD">
        <w:rPr>
          <w:i/>
          <w:iCs/>
        </w:rPr>
        <w:t xml:space="preserve"> certainty around the circumstances facing the NHS going into the second half of the</w:t>
      </w:r>
      <w:r w:rsidR="00E26CA0" w:rsidRPr="00E849DD">
        <w:rPr>
          <w:i/>
          <w:iCs/>
        </w:rPr>
        <w:t xml:space="preserve"> </w:t>
      </w:r>
      <w:r w:rsidR="00E151EA" w:rsidRPr="00E849DD">
        <w:rPr>
          <w:i/>
          <w:iCs/>
        </w:rPr>
        <w:t>year</w:t>
      </w:r>
      <w:r w:rsidR="00E26CA0" w:rsidRPr="00E849DD">
        <w:rPr>
          <w:i/>
          <w:iCs/>
        </w:rPr>
        <w:t>.</w:t>
      </w:r>
      <w:r w:rsidR="000C5414" w:rsidRPr="00E849DD">
        <w:rPr>
          <w:i/>
          <w:iCs/>
        </w:rPr>
        <w:t>"</w:t>
      </w:r>
    </w:p>
    <w:p w14:paraId="58F4EE01" w14:textId="77777777" w:rsidR="00D37B1F" w:rsidRPr="00E849DD" w:rsidRDefault="00D37B1F" w:rsidP="00D37B1F">
      <w:pPr>
        <w:spacing w:after="0" w:line="240" w:lineRule="auto"/>
        <w:jc w:val="both"/>
        <w:rPr>
          <w:u w:val="single"/>
        </w:rPr>
      </w:pPr>
    </w:p>
    <w:p w14:paraId="48788329" w14:textId="6AB91203" w:rsidR="00C82077" w:rsidRPr="00E849DD" w:rsidRDefault="00452688" w:rsidP="00D37B1F">
      <w:pPr>
        <w:spacing w:after="0" w:line="240" w:lineRule="auto"/>
        <w:jc w:val="both"/>
        <w:rPr>
          <w:u w:val="single"/>
        </w:rPr>
      </w:pPr>
      <w:r w:rsidRPr="00E849DD">
        <w:rPr>
          <w:u w:val="single"/>
        </w:rPr>
        <w:t>Commissioning/f</w:t>
      </w:r>
      <w:r w:rsidR="00C82077" w:rsidRPr="00E849DD">
        <w:rPr>
          <w:u w:val="single"/>
        </w:rPr>
        <w:t>und</w:t>
      </w:r>
      <w:r w:rsidR="00163BDB" w:rsidRPr="00E849DD">
        <w:rPr>
          <w:u w:val="single"/>
        </w:rPr>
        <w:t xml:space="preserve">ing: </w:t>
      </w:r>
    </w:p>
    <w:p w14:paraId="23F60221" w14:textId="0AE62B59" w:rsidR="00FC66CF" w:rsidRPr="00E849DD" w:rsidRDefault="006C7D2F" w:rsidP="00D37B1F">
      <w:pPr>
        <w:spacing w:after="0" w:line="240" w:lineRule="auto"/>
        <w:jc w:val="both"/>
      </w:pPr>
      <w:r w:rsidRPr="00E849DD">
        <w:t>Secondly, w</w:t>
      </w:r>
      <w:r w:rsidR="00A17F62" w:rsidRPr="00E849DD">
        <w:t>e would also like</w:t>
      </w:r>
      <w:r w:rsidR="00163BDB" w:rsidRPr="00E849DD">
        <w:t xml:space="preserve"> to highlight some of the specific funding arrangements that are cited within </w:t>
      </w:r>
      <w:r w:rsidR="00727BEF" w:rsidRPr="00E849DD">
        <w:t xml:space="preserve">the guidance, including: </w:t>
      </w:r>
    </w:p>
    <w:p w14:paraId="179EFA97" w14:textId="6F5FCB91" w:rsidR="00FC66CF" w:rsidRPr="00E849DD" w:rsidRDefault="00FC66CF" w:rsidP="00D37B1F">
      <w:pPr>
        <w:pStyle w:val="ListParagraph"/>
        <w:numPr>
          <w:ilvl w:val="0"/>
          <w:numId w:val="5"/>
        </w:numPr>
        <w:spacing w:after="0" w:line="240" w:lineRule="auto"/>
        <w:jc w:val="both"/>
      </w:pPr>
      <w:r w:rsidRPr="00E849DD">
        <w:rPr>
          <w:rFonts w:ascii="Calibri" w:hAnsi="Calibri" w:cs="Calibri"/>
          <w:bdr w:val="none" w:sz="0" w:space="0" w:color="auto" w:frame="1"/>
        </w:rPr>
        <w:t>£55m care home premium to support PCNs delivery of the E</w:t>
      </w:r>
      <w:r w:rsidR="000F0CBD" w:rsidRPr="00E849DD">
        <w:rPr>
          <w:rFonts w:ascii="Calibri" w:hAnsi="Calibri" w:cs="Calibri"/>
          <w:bdr w:val="none" w:sz="0" w:space="0" w:color="auto" w:frame="1"/>
        </w:rPr>
        <w:t xml:space="preserve">nhanced </w:t>
      </w:r>
      <w:r w:rsidRPr="00E849DD">
        <w:rPr>
          <w:rFonts w:ascii="Calibri" w:hAnsi="Calibri" w:cs="Calibri"/>
          <w:bdr w:val="none" w:sz="0" w:space="0" w:color="auto" w:frame="1"/>
        </w:rPr>
        <w:t>H</w:t>
      </w:r>
      <w:r w:rsidR="000F0CBD" w:rsidRPr="00E849DD">
        <w:rPr>
          <w:rFonts w:ascii="Calibri" w:hAnsi="Calibri" w:cs="Calibri"/>
          <w:bdr w:val="none" w:sz="0" w:space="0" w:color="auto" w:frame="1"/>
        </w:rPr>
        <w:t xml:space="preserve">ealthcare in </w:t>
      </w:r>
      <w:r w:rsidRPr="00E849DD">
        <w:rPr>
          <w:rFonts w:ascii="Calibri" w:hAnsi="Calibri" w:cs="Calibri"/>
          <w:bdr w:val="none" w:sz="0" w:space="0" w:color="auto" w:frame="1"/>
        </w:rPr>
        <w:t>C</w:t>
      </w:r>
      <w:r w:rsidR="000F0CBD" w:rsidRPr="00E849DD">
        <w:rPr>
          <w:rFonts w:ascii="Calibri" w:hAnsi="Calibri" w:cs="Calibri"/>
          <w:bdr w:val="none" w:sz="0" w:space="0" w:color="auto" w:frame="1"/>
        </w:rPr>
        <w:t xml:space="preserve">are </w:t>
      </w:r>
      <w:r w:rsidRPr="00E849DD">
        <w:rPr>
          <w:rFonts w:ascii="Calibri" w:hAnsi="Calibri" w:cs="Calibri"/>
          <w:bdr w:val="none" w:sz="0" w:space="0" w:color="auto" w:frame="1"/>
        </w:rPr>
        <w:t>H</w:t>
      </w:r>
      <w:r w:rsidR="000F0CBD" w:rsidRPr="00E849DD">
        <w:rPr>
          <w:rFonts w:ascii="Calibri" w:hAnsi="Calibri" w:cs="Calibri"/>
          <w:bdr w:val="none" w:sz="0" w:space="0" w:color="auto" w:frame="1"/>
        </w:rPr>
        <w:t>omes (EHCH)</w:t>
      </w:r>
      <w:r w:rsidRPr="00E849DD">
        <w:rPr>
          <w:rFonts w:ascii="Calibri" w:hAnsi="Calibri" w:cs="Calibri"/>
          <w:bdr w:val="none" w:sz="0" w:space="0" w:color="auto" w:frame="1"/>
        </w:rPr>
        <w:t xml:space="preserve"> to be allocated to CCGs separately.</w:t>
      </w:r>
    </w:p>
    <w:p w14:paraId="0674C7F5" w14:textId="77777777" w:rsidR="00452688" w:rsidRPr="00E849DD" w:rsidRDefault="00FC66CF" w:rsidP="00D37B1F">
      <w:pPr>
        <w:pStyle w:val="ListParagraph"/>
        <w:numPr>
          <w:ilvl w:val="0"/>
          <w:numId w:val="5"/>
        </w:numPr>
        <w:spacing w:after="0" w:line="240" w:lineRule="auto"/>
        <w:jc w:val="both"/>
      </w:pPr>
      <w:r w:rsidRPr="00E849DD">
        <w:rPr>
          <w:rFonts w:ascii="Calibri" w:hAnsi="Calibri" w:cs="Calibri"/>
          <w:bdr w:val="none" w:sz="0" w:space="0" w:color="auto" w:frame="1"/>
        </w:rPr>
        <w:t>BCF to continue in 21/22, CCG minimum contribution to BCF to increase by 5.3% to 4.26bn.</w:t>
      </w:r>
    </w:p>
    <w:p w14:paraId="6805B9D5" w14:textId="4B3FDB82" w:rsidR="00452688" w:rsidRPr="00E849DD" w:rsidRDefault="00452688" w:rsidP="00D37B1F">
      <w:pPr>
        <w:pStyle w:val="ListParagraph"/>
        <w:numPr>
          <w:ilvl w:val="0"/>
          <w:numId w:val="5"/>
        </w:numPr>
        <w:spacing w:after="0" w:line="240" w:lineRule="auto"/>
        <w:jc w:val="both"/>
      </w:pPr>
      <w:r w:rsidRPr="00E849DD">
        <w:rPr>
          <w:rFonts w:ascii="Calibri" w:hAnsi="Calibri" w:cs="Calibri"/>
          <w:bdr w:val="none" w:sz="0" w:space="0" w:color="auto" w:frame="1"/>
        </w:rPr>
        <w:t xml:space="preserve">NHS Standard </w:t>
      </w:r>
      <w:r w:rsidR="000C5414" w:rsidRPr="00E849DD">
        <w:rPr>
          <w:rFonts w:ascii="Calibri" w:hAnsi="Calibri" w:cs="Calibri"/>
          <w:bdr w:val="none" w:sz="0" w:space="0" w:color="auto" w:frame="1"/>
        </w:rPr>
        <w:t>C</w:t>
      </w:r>
      <w:r w:rsidRPr="00E849DD">
        <w:rPr>
          <w:rFonts w:ascii="Calibri" w:hAnsi="Calibri" w:cs="Calibri"/>
          <w:bdr w:val="none" w:sz="0" w:space="0" w:color="auto" w:frame="1"/>
        </w:rPr>
        <w:t>ontract must be used when commissioning.</w:t>
      </w:r>
    </w:p>
    <w:p w14:paraId="4E35D09F" w14:textId="77777777" w:rsidR="00452688" w:rsidRPr="00E849DD" w:rsidRDefault="00452688" w:rsidP="00D37B1F">
      <w:pPr>
        <w:pStyle w:val="ListParagraph"/>
        <w:numPr>
          <w:ilvl w:val="0"/>
          <w:numId w:val="5"/>
        </w:numPr>
        <w:spacing w:after="0" w:line="240" w:lineRule="auto"/>
        <w:jc w:val="both"/>
      </w:pPr>
      <w:r w:rsidRPr="00E849DD">
        <w:rPr>
          <w:rFonts w:ascii="Calibri" w:hAnsi="Calibri" w:cs="Calibri"/>
          <w:bdr w:val="none" w:sz="0" w:space="0" w:color="auto" w:frame="1"/>
        </w:rPr>
        <w:t>System Oversight Framework being published for 21/22 with consistent expectations of systems.</w:t>
      </w:r>
    </w:p>
    <w:p w14:paraId="7BCC8E65" w14:textId="48671B99" w:rsidR="0074798F" w:rsidRPr="00E849DD" w:rsidRDefault="000C5414" w:rsidP="00D37B1F">
      <w:pPr>
        <w:pStyle w:val="ListParagraph"/>
        <w:numPr>
          <w:ilvl w:val="0"/>
          <w:numId w:val="5"/>
        </w:numPr>
        <w:spacing w:after="0" w:line="240" w:lineRule="auto"/>
        <w:jc w:val="both"/>
      </w:pPr>
      <w:r w:rsidRPr="00E849DD">
        <w:rPr>
          <w:rFonts w:ascii="Calibri" w:hAnsi="Calibri" w:cs="Calibri"/>
          <w:bdr w:val="none" w:sz="0" w:space="0" w:color="auto" w:frame="1"/>
        </w:rPr>
        <w:t>For the first six months of 21/22, the NHS has been</w:t>
      </w:r>
      <w:r w:rsidR="00452688" w:rsidRPr="00E849DD">
        <w:rPr>
          <w:rFonts w:ascii="Calibri" w:hAnsi="Calibri" w:cs="Calibri"/>
          <w:bdr w:val="none" w:sz="0" w:space="0" w:color="auto" w:frame="1"/>
        </w:rPr>
        <w:t xml:space="preserve"> given an additional £6.6</w:t>
      </w:r>
      <w:r w:rsidRPr="00E849DD">
        <w:rPr>
          <w:rFonts w:ascii="Calibri" w:hAnsi="Calibri" w:cs="Calibri"/>
          <w:bdr w:val="none" w:sz="0" w:space="0" w:color="auto" w:frame="1"/>
        </w:rPr>
        <w:t xml:space="preserve"> </w:t>
      </w:r>
      <w:r w:rsidR="00452688" w:rsidRPr="00E849DD">
        <w:rPr>
          <w:rFonts w:ascii="Calibri" w:hAnsi="Calibri" w:cs="Calibri"/>
          <w:bdr w:val="none" w:sz="0" w:space="0" w:color="auto" w:frame="1"/>
        </w:rPr>
        <w:t>b</w:t>
      </w:r>
      <w:r w:rsidRPr="00E849DD">
        <w:rPr>
          <w:rFonts w:ascii="Calibri" w:hAnsi="Calibri" w:cs="Calibri"/>
          <w:bdr w:val="none" w:sz="0" w:space="0" w:color="auto" w:frame="1"/>
        </w:rPr>
        <w:t>illio</w:t>
      </w:r>
      <w:r w:rsidR="00452688" w:rsidRPr="00E849DD">
        <w:rPr>
          <w:rFonts w:ascii="Calibri" w:hAnsi="Calibri" w:cs="Calibri"/>
          <w:bdr w:val="none" w:sz="0" w:space="0" w:color="auto" w:frame="1"/>
        </w:rPr>
        <w:t>n and £1.5</w:t>
      </w:r>
      <w:r w:rsidRPr="00E849DD">
        <w:rPr>
          <w:rFonts w:ascii="Calibri" w:hAnsi="Calibri" w:cs="Calibri"/>
          <w:bdr w:val="none" w:sz="0" w:space="0" w:color="auto" w:frame="1"/>
        </w:rPr>
        <w:t xml:space="preserve"> </w:t>
      </w:r>
      <w:r w:rsidR="00452688" w:rsidRPr="00E849DD">
        <w:rPr>
          <w:rFonts w:ascii="Calibri" w:hAnsi="Calibri" w:cs="Calibri"/>
          <w:bdr w:val="none" w:sz="0" w:space="0" w:color="auto" w:frame="1"/>
        </w:rPr>
        <w:t>b</w:t>
      </w:r>
      <w:r w:rsidRPr="00E849DD">
        <w:rPr>
          <w:rFonts w:ascii="Calibri" w:hAnsi="Calibri" w:cs="Calibri"/>
          <w:bdr w:val="none" w:sz="0" w:space="0" w:color="auto" w:frame="1"/>
        </w:rPr>
        <w:t>illio</w:t>
      </w:r>
      <w:r w:rsidR="00452688" w:rsidRPr="00E849DD">
        <w:rPr>
          <w:rFonts w:ascii="Calibri" w:hAnsi="Calibri" w:cs="Calibri"/>
          <w:bdr w:val="none" w:sz="0" w:space="0" w:color="auto" w:frame="1"/>
        </w:rPr>
        <w:t>n for Covid 19 costs above the original mandate.</w:t>
      </w:r>
    </w:p>
    <w:p w14:paraId="1F086A11" w14:textId="77777777" w:rsidR="00D37B1F" w:rsidRPr="00E849DD" w:rsidRDefault="00D37B1F" w:rsidP="00D37B1F">
      <w:pPr>
        <w:spacing w:after="0" w:line="240" w:lineRule="auto"/>
        <w:jc w:val="both"/>
        <w:rPr>
          <w:u w:val="single"/>
        </w:rPr>
      </w:pPr>
    </w:p>
    <w:p w14:paraId="32DA0ABC" w14:textId="475B924D" w:rsidR="00C67B2F" w:rsidRPr="00E849DD" w:rsidRDefault="00C67B2F" w:rsidP="00D37B1F">
      <w:pPr>
        <w:spacing w:after="0" w:line="240" w:lineRule="auto"/>
        <w:jc w:val="both"/>
        <w:rPr>
          <w:u w:val="single"/>
        </w:rPr>
      </w:pPr>
      <w:r w:rsidRPr="00E849DD">
        <w:rPr>
          <w:u w:val="single"/>
        </w:rPr>
        <w:t>Integrated Care Systems (ICSs)</w:t>
      </w:r>
    </w:p>
    <w:p w14:paraId="501E0AF4" w14:textId="540E8B8C" w:rsidR="002B37EA" w:rsidRPr="00E849DD" w:rsidRDefault="00A17F62" w:rsidP="00D37B1F">
      <w:pPr>
        <w:spacing w:after="0" w:line="240" w:lineRule="auto"/>
        <w:jc w:val="both"/>
      </w:pPr>
      <w:r w:rsidRPr="00E849DD">
        <w:t>More broadly, the Implementation</w:t>
      </w:r>
      <w:r w:rsidR="002B37EA" w:rsidRPr="00E849DD">
        <w:t xml:space="preserve"> Paper provides some interesting insight regarding the future operation of </w:t>
      </w:r>
      <w:r w:rsidR="003A7B2E" w:rsidRPr="00E849DD">
        <w:t xml:space="preserve">ICSs. </w:t>
      </w:r>
      <w:r w:rsidR="007B7914" w:rsidRPr="00E849DD">
        <w:t xml:space="preserve">Firstly, it </w:t>
      </w:r>
      <w:r w:rsidR="000F0CBD" w:rsidRPr="00E849DD">
        <w:t>s</w:t>
      </w:r>
      <w:r w:rsidR="007B7914" w:rsidRPr="00E849DD">
        <w:t xml:space="preserve">ays </w:t>
      </w:r>
      <w:r w:rsidR="004A6414" w:rsidRPr="00E849DD">
        <w:t>how ICSs</w:t>
      </w:r>
      <w:r w:rsidR="00EF5075" w:rsidRPr="00E849DD">
        <w:t xml:space="preserve"> four core purposes </w:t>
      </w:r>
      <w:r w:rsidR="000F79A4" w:rsidRPr="00E849DD">
        <w:t xml:space="preserve">include: </w:t>
      </w:r>
    </w:p>
    <w:p w14:paraId="57408C9E" w14:textId="77777777" w:rsidR="00114395" w:rsidRPr="00E849DD" w:rsidRDefault="00114395" w:rsidP="00D37B1F">
      <w:pPr>
        <w:pStyle w:val="ListParagraph"/>
        <w:numPr>
          <w:ilvl w:val="0"/>
          <w:numId w:val="4"/>
        </w:numPr>
        <w:spacing w:after="0" w:line="240" w:lineRule="auto"/>
        <w:jc w:val="both"/>
      </w:pPr>
      <w:r w:rsidRPr="00E849DD">
        <w:t>Improving outcomes in population health and healthcare</w:t>
      </w:r>
    </w:p>
    <w:p w14:paraId="60B8AF0A" w14:textId="77777777" w:rsidR="00F16748" w:rsidRPr="00E849DD" w:rsidRDefault="00114395" w:rsidP="00D37B1F">
      <w:pPr>
        <w:pStyle w:val="ListParagraph"/>
        <w:numPr>
          <w:ilvl w:val="0"/>
          <w:numId w:val="4"/>
        </w:numPr>
        <w:spacing w:after="0" w:line="240" w:lineRule="auto"/>
        <w:jc w:val="both"/>
      </w:pPr>
      <w:r w:rsidRPr="00E849DD">
        <w:t xml:space="preserve">Tackling inequalities in outcomes, </w:t>
      </w:r>
      <w:proofErr w:type="gramStart"/>
      <w:r w:rsidRPr="00E849DD">
        <w:t>experience</w:t>
      </w:r>
      <w:proofErr w:type="gramEnd"/>
      <w:r w:rsidRPr="00E849DD">
        <w:t xml:space="preserve"> and access </w:t>
      </w:r>
    </w:p>
    <w:p w14:paraId="14E68BC1" w14:textId="77777777" w:rsidR="00434AB6" w:rsidRPr="00E849DD" w:rsidRDefault="00114395" w:rsidP="00D37B1F">
      <w:pPr>
        <w:pStyle w:val="ListParagraph"/>
        <w:numPr>
          <w:ilvl w:val="0"/>
          <w:numId w:val="4"/>
        </w:numPr>
        <w:spacing w:after="0" w:line="240" w:lineRule="auto"/>
        <w:jc w:val="both"/>
      </w:pPr>
      <w:r w:rsidRPr="00E849DD">
        <w:t>Enhancing productivity and value for mone</w:t>
      </w:r>
      <w:r w:rsidR="00434AB6" w:rsidRPr="00E849DD">
        <w:t>y</w:t>
      </w:r>
    </w:p>
    <w:p w14:paraId="5F4F8414" w14:textId="7BFF5BAF" w:rsidR="00A17F62" w:rsidRPr="00E849DD" w:rsidRDefault="00114395" w:rsidP="00D37B1F">
      <w:pPr>
        <w:pStyle w:val="ListParagraph"/>
        <w:numPr>
          <w:ilvl w:val="0"/>
          <w:numId w:val="4"/>
        </w:numPr>
        <w:spacing w:after="0" w:line="240" w:lineRule="auto"/>
        <w:jc w:val="both"/>
      </w:pPr>
      <w:r w:rsidRPr="00E849DD">
        <w:t>Helping the NHS to support broader social and economic developmen</w:t>
      </w:r>
      <w:r w:rsidR="00434AB6" w:rsidRPr="00E849DD">
        <w:t>t</w:t>
      </w:r>
    </w:p>
    <w:p w14:paraId="60F4A6A7" w14:textId="77777777" w:rsidR="00D37B1F" w:rsidRPr="00E849DD" w:rsidRDefault="00D37B1F" w:rsidP="00D37B1F">
      <w:pPr>
        <w:pStyle w:val="xmsolistparagraph"/>
        <w:shd w:val="clear" w:color="auto" w:fill="FFFFFF"/>
        <w:spacing w:before="0" w:beforeAutospacing="0" w:after="0" w:afterAutospacing="0"/>
        <w:jc w:val="both"/>
        <w:rPr>
          <w:rFonts w:ascii="Calibri" w:hAnsi="Calibri" w:cs="Calibri"/>
          <w:sz w:val="22"/>
          <w:szCs w:val="22"/>
          <w:bdr w:val="none" w:sz="0" w:space="0" w:color="auto" w:frame="1"/>
        </w:rPr>
      </w:pPr>
    </w:p>
    <w:p w14:paraId="2B35F6B3" w14:textId="18354D3F" w:rsidR="009E4E25" w:rsidRPr="00E849DD" w:rsidRDefault="00A011A9" w:rsidP="00D37B1F">
      <w:pPr>
        <w:pStyle w:val="xmsolistparagraph"/>
        <w:shd w:val="clear" w:color="auto" w:fill="FFFFFF"/>
        <w:spacing w:before="0" w:beforeAutospacing="0" w:after="0" w:afterAutospacing="0"/>
        <w:jc w:val="both"/>
        <w:rPr>
          <w:rFonts w:ascii="Calibri" w:hAnsi="Calibri" w:cs="Calibri"/>
          <w:sz w:val="22"/>
          <w:szCs w:val="22"/>
          <w:bdr w:val="none" w:sz="0" w:space="0" w:color="auto" w:frame="1"/>
        </w:rPr>
      </w:pPr>
      <w:r w:rsidRPr="00E849DD">
        <w:rPr>
          <w:rFonts w:ascii="Calibri" w:hAnsi="Calibri" w:cs="Calibri"/>
          <w:sz w:val="22"/>
          <w:szCs w:val="22"/>
          <w:bdr w:val="none" w:sz="0" w:space="0" w:color="auto" w:frame="1"/>
        </w:rPr>
        <w:t xml:space="preserve">Whilst it </w:t>
      </w:r>
      <w:r w:rsidR="009E4E25" w:rsidRPr="00E849DD">
        <w:rPr>
          <w:rFonts w:ascii="Calibri" w:hAnsi="Calibri" w:cs="Calibri"/>
          <w:sz w:val="22"/>
          <w:szCs w:val="22"/>
          <w:bdr w:val="none" w:sz="0" w:space="0" w:color="auto" w:frame="1"/>
        </w:rPr>
        <w:t xml:space="preserve">also provided some further detail </w:t>
      </w:r>
      <w:r w:rsidR="000C5414" w:rsidRPr="00E849DD">
        <w:rPr>
          <w:rFonts w:ascii="Calibri" w:hAnsi="Calibri" w:cs="Calibri"/>
          <w:sz w:val="22"/>
          <w:szCs w:val="22"/>
          <w:bdr w:val="none" w:sz="0" w:space="0" w:color="auto" w:frame="1"/>
        </w:rPr>
        <w:t>concerning</w:t>
      </w:r>
      <w:r w:rsidR="009E4E25" w:rsidRPr="00E849DD">
        <w:rPr>
          <w:rFonts w:ascii="Calibri" w:hAnsi="Calibri" w:cs="Calibri"/>
          <w:sz w:val="22"/>
          <w:szCs w:val="22"/>
          <w:bdr w:val="none" w:sz="0" w:space="0" w:color="auto" w:frame="1"/>
        </w:rPr>
        <w:t xml:space="preserve"> the operation of ICSs within the health and care landscape: </w:t>
      </w:r>
    </w:p>
    <w:p w14:paraId="241178BF" w14:textId="3052BE25" w:rsidR="009E4E25" w:rsidRPr="00E849DD" w:rsidRDefault="00434AB6" w:rsidP="00D37B1F">
      <w:pPr>
        <w:pStyle w:val="xmsolistparagraph"/>
        <w:numPr>
          <w:ilvl w:val="0"/>
          <w:numId w:val="6"/>
        </w:numPr>
        <w:shd w:val="clear" w:color="auto" w:fill="FFFFFF"/>
        <w:spacing w:before="0" w:beforeAutospacing="0" w:after="0" w:afterAutospacing="0"/>
        <w:jc w:val="both"/>
        <w:rPr>
          <w:rFonts w:ascii="Calibri" w:hAnsi="Calibri" w:cs="Calibri"/>
          <w:sz w:val="22"/>
          <w:szCs w:val="22"/>
          <w:bdr w:val="none" w:sz="0" w:space="0" w:color="auto" w:frame="1"/>
        </w:rPr>
      </w:pPr>
      <w:r w:rsidRPr="00E849DD">
        <w:rPr>
          <w:rFonts w:ascii="Calibri" w:hAnsi="Calibri" w:cs="Calibri"/>
          <w:sz w:val="22"/>
          <w:szCs w:val="22"/>
          <w:bdr w:val="none" w:sz="0" w:space="0" w:color="auto" w:frame="1"/>
        </w:rPr>
        <w:t>There will be one statutory ICS NHS Body and one statutory ICS Health and Care Partnership body.</w:t>
      </w:r>
      <w:r w:rsidRPr="00E849DD">
        <w:rPr>
          <w:rFonts w:ascii="Calibri" w:hAnsi="Calibri" w:cs="Calibri"/>
          <w:sz w:val="22"/>
          <w:szCs w:val="22"/>
        </w:rPr>
        <w:t xml:space="preserve"> </w:t>
      </w:r>
      <w:r w:rsidRPr="00E849DD">
        <w:rPr>
          <w:rFonts w:ascii="Calibri" w:hAnsi="Calibri" w:cs="Calibri"/>
          <w:sz w:val="22"/>
          <w:szCs w:val="22"/>
          <w:bdr w:val="none" w:sz="0" w:space="0" w:color="auto" w:frame="1"/>
        </w:rPr>
        <w:t xml:space="preserve">CCG functions will be subsumed into </w:t>
      </w:r>
      <w:r w:rsidR="000F0CBD" w:rsidRPr="00E849DD">
        <w:rPr>
          <w:rFonts w:ascii="Calibri" w:hAnsi="Calibri" w:cs="Calibri"/>
          <w:sz w:val="22"/>
          <w:szCs w:val="22"/>
          <w:bdr w:val="none" w:sz="0" w:space="0" w:color="auto" w:frame="1"/>
        </w:rPr>
        <w:t xml:space="preserve">the </w:t>
      </w:r>
      <w:r w:rsidRPr="00E849DD">
        <w:rPr>
          <w:rFonts w:ascii="Calibri" w:hAnsi="Calibri" w:cs="Calibri"/>
          <w:sz w:val="22"/>
          <w:szCs w:val="22"/>
          <w:bdr w:val="none" w:sz="0" w:space="0" w:color="auto" w:frame="1"/>
        </w:rPr>
        <w:t>ICS NHS body.</w:t>
      </w:r>
    </w:p>
    <w:p w14:paraId="17259C67" w14:textId="60656993" w:rsidR="009E4E25" w:rsidRPr="00E849DD" w:rsidRDefault="00434AB6" w:rsidP="00D37B1F">
      <w:pPr>
        <w:pStyle w:val="xmsolistparagraph"/>
        <w:numPr>
          <w:ilvl w:val="0"/>
          <w:numId w:val="6"/>
        </w:numPr>
        <w:shd w:val="clear" w:color="auto" w:fill="FFFFFF"/>
        <w:spacing w:before="0" w:beforeAutospacing="0" w:after="0" w:afterAutospacing="0"/>
        <w:jc w:val="both"/>
        <w:rPr>
          <w:rFonts w:ascii="Calibri" w:hAnsi="Calibri" w:cs="Calibri"/>
          <w:sz w:val="22"/>
          <w:szCs w:val="22"/>
          <w:bdr w:val="none" w:sz="0" w:space="0" w:color="auto" w:frame="1"/>
        </w:rPr>
      </w:pPr>
      <w:r w:rsidRPr="00E849DD">
        <w:rPr>
          <w:rFonts w:ascii="Calibri" w:hAnsi="Calibri" w:cs="Calibri"/>
          <w:sz w:val="22"/>
          <w:szCs w:val="22"/>
          <w:bdr w:val="none" w:sz="0" w:space="0" w:color="auto" w:frame="1"/>
        </w:rPr>
        <w:t xml:space="preserve">The ICSs will </w:t>
      </w:r>
      <w:r w:rsidR="000C5414" w:rsidRPr="00E849DD">
        <w:rPr>
          <w:rFonts w:ascii="Calibri" w:hAnsi="Calibri" w:cs="Calibri"/>
          <w:sz w:val="22"/>
          <w:szCs w:val="22"/>
          <w:bdr w:val="none" w:sz="0" w:space="0" w:color="auto" w:frame="1"/>
        </w:rPr>
        <w:t>'</w:t>
      </w:r>
      <w:r w:rsidRPr="00E849DD">
        <w:rPr>
          <w:rFonts w:ascii="Calibri" w:hAnsi="Calibri" w:cs="Calibri"/>
          <w:sz w:val="22"/>
          <w:szCs w:val="22"/>
          <w:bdr w:val="none" w:sz="0" w:space="0" w:color="auto" w:frame="1"/>
        </w:rPr>
        <w:t>forge deep relationships with local government</w:t>
      </w:r>
      <w:r w:rsidR="000C5414" w:rsidRPr="00E849DD">
        <w:rPr>
          <w:rFonts w:ascii="Calibri" w:hAnsi="Calibri" w:cs="Calibri"/>
          <w:sz w:val="22"/>
          <w:szCs w:val="22"/>
          <w:bdr w:val="none" w:sz="0" w:space="0" w:color="auto" w:frame="1"/>
        </w:rPr>
        <w:t>'</w:t>
      </w:r>
      <w:r w:rsidRPr="00E849DD">
        <w:rPr>
          <w:rFonts w:ascii="Calibri" w:hAnsi="Calibri" w:cs="Calibri"/>
          <w:sz w:val="22"/>
          <w:szCs w:val="22"/>
          <w:bdr w:val="none" w:sz="0" w:space="0" w:color="auto" w:frame="1"/>
        </w:rPr>
        <w:t>.</w:t>
      </w:r>
    </w:p>
    <w:p w14:paraId="45DA8058" w14:textId="46BD3418" w:rsidR="009E4E25" w:rsidRPr="00E849DD" w:rsidRDefault="00434AB6" w:rsidP="00D37B1F">
      <w:pPr>
        <w:pStyle w:val="xmsolistparagraph"/>
        <w:numPr>
          <w:ilvl w:val="0"/>
          <w:numId w:val="6"/>
        </w:numPr>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bdr w:val="none" w:sz="0" w:space="0" w:color="auto" w:frame="1"/>
        </w:rPr>
        <w:t xml:space="preserve">ICS System Development Plans (SDPs) must be agreed </w:t>
      </w:r>
      <w:r w:rsidR="000C5414" w:rsidRPr="00E849DD">
        <w:rPr>
          <w:rFonts w:ascii="Calibri" w:hAnsi="Calibri" w:cs="Calibri"/>
          <w:sz w:val="22"/>
          <w:szCs w:val="22"/>
          <w:bdr w:val="none" w:sz="0" w:space="0" w:color="auto" w:frame="1"/>
        </w:rPr>
        <w:t xml:space="preserve">upon </w:t>
      </w:r>
      <w:r w:rsidRPr="00E849DD">
        <w:rPr>
          <w:rFonts w:ascii="Calibri" w:hAnsi="Calibri" w:cs="Calibri"/>
          <w:sz w:val="22"/>
          <w:szCs w:val="22"/>
          <w:bdr w:val="none" w:sz="0" w:space="0" w:color="auto" w:frame="1"/>
        </w:rPr>
        <w:t xml:space="preserve">by </w:t>
      </w:r>
      <w:r w:rsidR="000C5414" w:rsidRPr="00E849DD">
        <w:rPr>
          <w:rFonts w:ascii="Calibri" w:hAnsi="Calibri" w:cs="Calibri"/>
          <w:sz w:val="22"/>
          <w:szCs w:val="22"/>
          <w:bdr w:val="none" w:sz="0" w:space="0" w:color="auto" w:frame="1"/>
        </w:rPr>
        <w:t xml:space="preserve">the </w:t>
      </w:r>
      <w:r w:rsidRPr="00E849DD">
        <w:rPr>
          <w:rFonts w:ascii="Calibri" w:hAnsi="Calibri" w:cs="Calibri"/>
          <w:sz w:val="22"/>
          <w:szCs w:val="22"/>
          <w:bdr w:val="none" w:sz="0" w:space="0" w:color="auto" w:frame="1"/>
        </w:rPr>
        <w:t>end</w:t>
      </w:r>
      <w:r w:rsidR="000C5414" w:rsidRPr="00E849DD">
        <w:rPr>
          <w:rFonts w:ascii="Calibri" w:hAnsi="Calibri" w:cs="Calibri"/>
          <w:sz w:val="22"/>
          <w:szCs w:val="22"/>
          <w:bdr w:val="none" w:sz="0" w:space="0" w:color="auto" w:frame="1"/>
        </w:rPr>
        <w:t xml:space="preserve"> of</w:t>
      </w:r>
      <w:r w:rsidRPr="00E849DD">
        <w:rPr>
          <w:rFonts w:ascii="Calibri" w:hAnsi="Calibri" w:cs="Calibri"/>
          <w:sz w:val="22"/>
          <w:szCs w:val="22"/>
          <w:bdr w:val="none" w:sz="0" w:space="0" w:color="auto" w:frame="1"/>
        </w:rPr>
        <w:t xml:space="preserve"> Q1 </w:t>
      </w:r>
      <w:r w:rsidR="000C5414" w:rsidRPr="00E849DD">
        <w:rPr>
          <w:rFonts w:ascii="Calibri" w:hAnsi="Calibri" w:cs="Calibri"/>
          <w:sz w:val="22"/>
          <w:szCs w:val="22"/>
          <w:bdr w:val="none" w:sz="0" w:space="0" w:color="auto" w:frame="1"/>
        </w:rPr>
        <w:t>and</w:t>
      </w:r>
      <w:r w:rsidRPr="00E849DD">
        <w:rPr>
          <w:rFonts w:ascii="Calibri" w:hAnsi="Calibri" w:cs="Calibri"/>
          <w:sz w:val="22"/>
          <w:szCs w:val="22"/>
          <w:bdr w:val="none" w:sz="0" w:space="0" w:color="auto" w:frame="1"/>
        </w:rPr>
        <w:t xml:space="preserve"> regularly reviewed and updated through</w:t>
      </w:r>
      <w:r w:rsidR="000C5414" w:rsidRPr="00E849DD">
        <w:rPr>
          <w:rFonts w:ascii="Calibri" w:hAnsi="Calibri" w:cs="Calibri"/>
          <w:sz w:val="22"/>
          <w:szCs w:val="22"/>
          <w:bdr w:val="none" w:sz="0" w:space="0" w:color="auto" w:frame="1"/>
        </w:rPr>
        <w:t>out</w:t>
      </w:r>
      <w:r w:rsidRPr="00E849DD">
        <w:rPr>
          <w:rFonts w:ascii="Calibri" w:hAnsi="Calibri" w:cs="Calibri"/>
          <w:sz w:val="22"/>
          <w:szCs w:val="22"/>
          <w:bdr w:val="none" w:sz="0" w:space="0" w:color="auto" w:frame="1"/>
        </w:rPr>
        <w:t xml:space="preserve"> the year.</w:t>
      </w:r>
    </w:p>
    <w:p w14:paraId="30380932" w14:textId="6CA2C14B" w:rsidR="00C82077" w:rsidRPr="00E849DD" w:rsidRDefault="00C82077" w:rsidP="00D37B1F">
      <w:pPr>
        <w:pStyle w:val="xmsolistparagraph"/>
        <w:numPr>
          <w:ilvl w:val="0"/>
          <w:numId w:val="6"/>
        </w:numPr>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bdr w:val="none" w:sz="0" w:space="0" w:color="auto" w:frame="1"/>
        </w:rPr>
        <w:t>Mental health hubs being set up in each ICS to give occupational health and wellbeing support to NHS staff.</w:t>
      </w:r>
    </w:p>
    <w:p w14:paraId="3ADE5907" w14:textId="18F09AAA" w:rsidR="00092FF3" w:rsidRPr="00E849DD" w:rsidRDefault="00092FF3" w:rsidP="00D37B1F">
      <w:pPr>
        <w:pStyle w:val="xmsolistparagraph"/>
        <w:numPr>
          <w:ilvl w:val="0"/>
          <w:numId w:val="6"/>
        </w:numPr>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bdr w:val="none" w:sz="0" w:space="0" w:color="auto" w:frame="1"/>
        </w:rPr>
        <w:t>Roll out 2</w:t>
      </w:r>
      <w:r w:rsidR="000C5414" w:rsidRPr="00E849DD">
        <w:rPr>
          <w:rFonts w:ascii="Calibri" w:hAnsi="Calibri" w:cs="Calibri"/>
          <w:sz w:val="22"/>
          <w:szCs w:val="22"/>
          <w:bdr w:val="none" w:sz="0" w:space="0" w:color="auto" w:frame="1"/>
        </w:rPr>
        <w:t>-</w:t>
      </w:r>
      <w:r w:rsidRPr="00E849DD">
        <w:rPr>
          <w:rFonts w:ascii="Calibri" w:hAnsi="Calibri" w:cs="Calibri"/>
          <w:sz w:val="22"/>
          <w:szCs w:val="22"/>
          <w:bdr w:val="none" w:sz="0" w:space="0" w:color="auto" w:frame="1"/>
        </w:rPr>
        <w:t>hour crisis community health response at home 8</w:t>
      </w:r>
      <w:r w:rsidR="000C5414" w:rsidRPr="00E849DD">
        <w:rPr>
          <w:rFonts w:ascii="Calibri" w:hAnsi="Calibri" w:cs="Calibri"/>
          <w:sz w:val="22"/>
          <w:szCs w:val="22"/>
          <w:bdr w:val="none" w:sz="0" w:space="0" w:color="auto" w:frame="1"/>
        </w:rPr>
        <w:t xml:space="preserve"> </w:t>
      </w:r>
      <w:r w:rsidRPr="00E849DD">
        <w:rPr>
          <w:rFonts w:ascii="Calibri" w:hAnsi="Calibri" w:cs="Calibri"/>
          <w:sz w:val="22"/>
          <w:szCs w:val="22"/>
          <w:bdr w:val="none" w:sz="0" w:space="0" w:color="auto" w:frame="1"/>
        </w:rPr>
        <w:t>am to 8</w:t>
      </w:r>
      <w:r w:rsidR="000C5414" w:rsidRPr="00E849DD">
        <w:rPr>
          <w:rFonts w:ascii="Calibri" w:hAnsi="Calibri" w:cs="Calibri"/>
          <w:sz w:val="22"/>
          <w:szCs w:val="22"/>
          <w:bdr w:val="none" w:sz="0" w:space="0" w:color="auto" w:frame="1"/>
        </w:rPr>
        <w:t xml:space="preserve"> </w:t>
      </w:r>
      <w:r w:rsidRPr="00E849DD">
        <w:rPr>
          <w:rFonts w:ascii="Calibri" w:hAnsi="Calibri" w:cs="Calibri"/>
          <w:sz w:val="22"/>
          <w:szCs w:val="22"/>
          <w:bdr w:val="none" w:sz="0" w:space="0" w:color="auto" w:frame="1"/>
        </w:rPr>
        <w:t>pm 7 days a week by April 2022.</w:t>
      </w:r>
    </w:p>
    <w:p w14:paraId="373255E5" w14:textId="77777777" w:rsidR="00092FF3" w:rsidRPr="00E849DD" w:rsidRDefault="00092FF3" w:rsidP="00D37B1F">
      <w:pPr>
        <w:pStyle w:val="xmsolistparagraph"/>
        <w:shd w:val="clear" w:color="auto" w:fill="FFFFFF"/>
        <w:spacing w:before="0" w:beforeAutospacing="0" w:after="0" w:afterAutospacing="0"/>
        <w:jc w:val="both"/>
        <w:rPr>
          <w:rFonts w:ascii="Calibri" w:hAnsi="Calibri" w:cs="Calibri"/>
          <w:sz w:val="22"/>
          <w:szCs w:val="22"/>
        </w:rPr>
      </w:pPr>
    </w:p>
    <w:p w14:paraId="7B616C38" w14:textId="62888896" w:rsidR="009E4E25" w:rsidRPr="00E849DD" w:rsidRDefault="000C5414" w:rsidP="00D37B1F">
      <w:pPr>
        <w:pStyle w:val="xmsolistparagraph"/>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rPr>
        <w:t>In collaboration with its White Paper Working Group, Care England will</w:t>
      </w:r>
      <w:r w:rsidR="009E4E25" w:rsidRPr="00E849DD">
        <w:rPr>
          <w:rFonts w:ascii="Calibri" w:hAnsi="Calibri" w:cs="Calibri"/>
          <w:sz w:val="22"/>
          <w:szCs w:val="22"/>
        </w:rPr>
        <w:t xml:space="preserve"> continue to</w:t>
      </w:r>
      <w:r w:rsidR="009A4605" w:rsidRPr="00E849DD">
        <w:rPr>
          <w:rFonts w:ascii="Calibri" w:hAnsi="Calibri" w:cs="Calibri"/>
          <w:sz w:val="22"/>
          <w:szCs w:val="22"/>
        </w:rPr>
        <w:t xml:space="preserve"> </w:t>
      </w:r>
      <w:r w:rsidR="00624CCF" w:rsidRPr="00E849DD">
        <w:rPr>
          <w:rFonts w:ascii="Calibri" w:hAnsi="Calibri" w:cs="Calibri"/>
          <w:sz w:val="22"/>
          <w:szCs w:val="22"/>
        </w:rPr>
        <w:t xml:space="preserve">ensure that the </w:t>
      </w:r>
      <w:r w:rsidRPr="00E849DD">
        <w:rPr>
          <w:rFonts w:ascii="Calibri" w:hAnsi="Calibri" w:cs="Calibri"/>
          <w:sz w:val="22"/>
          <w:szCs w:val="22"/>
        </w:rPr>
        <w:t>care sector's voice</w:t>
      </w:r>
      <w:r w:rsidR="00624CCF" w:rsidRPr="00E849DD">
        <w:rPr>
          <w:rFonts w:ascii="Calibri" w:hAnsi="Calibri" w:cs="Calibri"/>
          <w:sz w:val="22"/>
          <w:szCs w:val="22"/>
        </w:rPr>
        <w:t xml:space="preserve"> is heard as these new health and care structures develop. </w:t>
      </w:r>
      <w:r w:rsidR="009E4E25" w:rsidRPr="00E849DD">
        <w:rPr>
          <w:rFonts w:ascii="Calibri" w:hAnsi="Calibri" w:cs="Calibri"/>
          <w:sz w:val="22"/>
          <w:szCs w:val="22"/>
        </w:rPr>
        <w:t xml:space="preserve"> </w:t>
      </w:r>
    </w:p>
    <w:p w14:paraId="79412DF3" w14:textId="548CBB3D" w:rsidR="004524D7" w:rsidRPr="00E849DD" w:rsidRDefault="004524D7" w:rsidP="00D37B1F">
      <w:pPr>
        <w:pStyle w:val="xmsolistparagraph"/>
        <w:shd w:val="clear" w:color="auto" w:fill="FFFFFF"/>
        <w:spacing w:before="0" w:beforeAutospacing="0" w:after="0" w:afterAutospacing="0"/>
        <w:jc w:val="both"/>
        <w:rPr>
          <w:rFonts w:ascii="Calibri" w:hAnsi="Calibri" w:cs="Calibri"/>
          <w:sz w:val="22"/>
          <w:szCs w:val="22"/>
        </w:rPr>
      </w:pPr>
    </w:p>
    <w:p w14:paraId="25C6EA16" w14:textId="2A2A7259" w:rsidR="004524D7" w:rsidRPr="00E849DD" w:rsidRDefault="004524D7" w:rsidP="00D37B1F">
      <w:pPr>
        <w:pStyle w:val="xmsolistparagraph"/>
        <w:shd w:val="clear" w:color="auto" w:fill="FFFFFF"/>
        <w:spacing w:before="0" w:beforeAutospacing="0" w:after="0" w:afterAutospacing="0"/>
        <w:jc w:val="both"/>
        <w:rPr>
          <w:rFonts w:ascii="Calibri" w:hAnsi="Calibri" w:cs="Calibri"/>
          <w:sz w:val="22"/>
          <w:szCs w:val="22"/>
          <w:u w:val="single"/>
        </w:rPr>
      </w:pPr>
      <w:r w:rsidRPr="00E849DD">
        <w:rPr>
          <w:rFonts w:ascii="Calibri" w:hAnsi="Calibri" w:cs="Calibri"/>
          <w:sz w:val="22"/>
          <w:szCs w:val="22"/>
          <w:u w:val="single"/>
        </w:rPr>
        <w:t>Learning Disability</w:t>
      </w:r>
      <w:r w:rsidR="0019650F" w:rsidRPr="00E849DD">
        <w:rPr>
          <w:rFonts w:ascii="Calibri" w:hAnsi="Calibri" w:cs="Calibri"/>
          <w:sz w:val="22"/>
          <w:szCs w:val="22"/>
          <w:u w:val="single"/>
        </w:rPr>
        <w:t>/mental health services</w:t>
      </w:r>
      <w:r w:rsidRPr="00E849DD">
        <w:rPr>
          <w:rFonts w:ascii="Calibri" w:hAnsi="Calibri" w:cs="Calibri"/>
          <w:sz w:val="22"/>
          <w:szCs w:val="22"/>
          <w:u w:val="single"/>
        </w:rPr>
        <w:t xml:space="preserve">: </w:t>
      </w:r>
    </w:p>
    <w:p w14:paraId="1F41DEC3" w14:textId="066AFDA9" w:rsidR="00420086" w:rsidRPr="00E849DD" w:rsidRDefault="004524D7" w:rsidP="00D37B1F">
      <w:pPr>
        <w:pStyle w:val="xmsolistparagraph"/>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rPr>
        <w:t>The NHS Planning Guidance documents also place</w:t>
      </w:r>
      <w:r w:rsidR="00420086" w:rsidRPr="00E849DD">
        <w:rPr>
          <w:rFonts w:ascii="Calibri" w:hAnsi="Calibri" w:cs="Calibri"/>
          <w:sz w:val="22"/>
          <w:szCs w:val="22"/>
        </w:rPr>
        <w:t>s</w:t>
      </w:r>
      <w:r w:rsidRPr="00E849DD">
        <w:rPr>
          <w:rFonts w:ascii="Calibri" w:hAnsi="Calibri" w:cs="Calibri"/>
          <w:sz w:val="22"/>
          <w:szCs w:val="22"/>
        </w:rPr>
        <w:t xml:space="preserve"> some welcome light on </w:t>
      </w:r>
      <w:r w:rsidR="00DD6123" w:rsidRPr="00E849DD">
        <w:rPr>
          <w:rFonts w:ascii="Calibri" w:hAnsi="Calibri" w:cs="Calibri"/>
          <w:sz w:val="22"/>
          <w:szCs w:val="22"/>
        </w:rPr>
        <w:t xml:space="preserve">how the NHS will seek to </w:t>
      </w:r>
      <w:r w:rsidR="00AC6F8F" w:rsidRPr="00E849DD">
        <w:rPr>
          <w:rFonts w:ascii="Calibri" w:hAnsi="Calibri" w:cs="Calibri"/>
          <w:sz w:val="22"/>
          <w:szCs w:val="22"/>
        </w:rPr>
        <w:t xml:space="preserve">improve </w:t>
      </w:r>
      <w:r w:rsidR="00A3391C" w:rsidRPr="00E849DD">
        <w:rPr>
          <w:rFonts w:ascii="Calibri" w:hAnsi="Calibri" w:cs="Calibri"/>
          <w:sz w:val="22"/>
          <w:szCs w:val="22"/>
        </w:rPr>
        <w:t>mental health and services</w:t>
      </w:r>
      <w:r w:rsidR="0019650F" w:rsidRPr="00E849DD">
        <w:rPr>
          <w:rFonts w:ascii="Calibri" w:hAnsi="Calibri" w:cs="Calibri"/>
          <w:sz w:val="22"/>
          <w:szCs w:val="22"/>
        </w:rPr>
        <w:t xml:space="preserve"> for people with LD and/or autism </w:t>
      </w:r>
      <w:r w:rsidR="00420086" w:rsidRPr="00E849DD">
        <w:rPr>
          <w:rFonts w:ascii="Calibri" w:hAnsi="Calibri" w:cs="Calibri"/>
          <w:sz w:val="22"/>
          <w:szCs w:val="22"/>
        </w:rPr>
        <w:t xml:space="preserve">over the coming year. </w:t>
      </w:r>
    </w:p>
    <w:p w14:paraId="5191FE8E" w14:textId="77777777" w:rsidR="0015436B" w:rsidRPr="00E849DD" w:rsidRDefault="0015436B" w:rsidP="00D37B1F">
      <w:pPr>
        <w:pStyle w:val="xmsolistparagraph"/>
        <w:shd w:val="clear" w:color="auto" w:fill="FFFFFF"/>
        <w:spacing w:before="0" w:beforeAutospacing="0" w:after="0" w:afterAutospacing="0"/>
        <w:jc w:val="both"/>
        <w:rPr>
          <w:rFonts w:ascii="Calibri" w:hAnsi="Calibri" w:cs="Calibri"/>
          <w:sz w:val="22"/>
          <w:szCs w:val="22"/>
        </w:rPr>
      </w:pPr>
    </w:p>
    <w:p w14:paraId="59EE449B" w14:textId="2EE930E5" w:rsidR="0015436B" w:rsidRPr="00E849DD" w:rsidRDefault="00FB64F5" w:rsidP="00D37B1F">
      <w:pPr>
        <w:pStyle w:val="xmsolistparagraph"/>
        <w:numPr>
          <w:ilvl w:val="0"/>
          <w:numId w:val="7"/>
        </w:numPr>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rPr>
        <w:t>T</w:t>
      </w:r>
      <w:r w:rsidR="008946FB" w:rsidRPr="00E849DD">
        <w:rPr>
          <w:rFonts w:ascii="Calibri" w:hAnsi="Calibri" w:cs="Calibri"/>
          <w:sz w:val="22"/>
          <w:szCs w:val="22"/>
        </w:rPr>
        <w:t>he prioritisation of Annual Health Checks</w:t>
      </w:r>
      <w:r w:rsidRPr="00E849DD">
        <w:rPr>
          <w:rFonts w:ascii="Calibri" w:hAnsi="Calibri" w:cs="Calibri"/>
          <w:sz w:val="22"/>
          <w:szCs w:val="22"/>
        </w:rPr>
        <w:t xml:space="preserve"> for </w:t>
      </w:r>
      <w:r w:rsidR="0015436B" w:rsidRPr="00E849DD">
        <w:rPr>
          <w:rFonts w:ascii="Calibri" w:hAnsi="Calibri" w:cs="Calibri"/>
          <w:sz w:val="22"/>
          <w:szCs w:val="22"/>
        </w:rPr>
        <w:t>people with a learning disability</w:t>
      </w:r>
      <w:r w:rsidR="008946FB" w:rsidRPr="00E849DD">
        <w:rPr>
          <w:rFonts w:ascii="Calibri" w:hAnsi="Calibri" w:cs="Calibri"/>
          <w:sz w:val="22"/>
          <w:szCs w:val="22"/>
        </w:rPr>
        <w:t xml:space="preserve"> is seen as one key mechanism for doing so. </w:t>
      </w:r>
      <w:r w:rsidRPr="00E849DD">
        <w:rPr>
          <w:rFonts w:ascii="Calibri" w:hAnsi="Calibri" w:cs="Calibri"/>
          <w:sz w:val="22"/>
          <w:szCs w:val="22"/>
        </w:rPr>
        <w:t xml:space="preserve">It states that </w:t>
      </w:r>
      <w:r w:rsidR="000C5414" w:rsidRPr="00E849DD">
        <w:rPr>
          <w:rFonts w:ascii="Calibri" w:hAnsi="Calibri" w:cs="Calibri"/>
          <w:sz w:val="22"/>
          <w:szCs w:val="22"/>
        </w:rPr>
        <w:t>"</w:t>
      </w:r>
      <w:r w:rsidRPr="00E849DD">
        <w:rPr>
          <w:rFonts w:ascii="Calibri" w:hAnsi="Calibri" w:cs="Calibri"/>
          <w:i/>
          <w:iCs/>
          <w:sz w:val="22"/>
          <w:szCs w:val="22"/>
        </w:rPr>
        <w:t>It is vital to continue to make progress on our LTP commitments for people with a learning disability, autism or both. We need to make progress on the delivery of annual health checks for people with a learning disability</w:t>
      </w:r>
      <w:r w:rsidRPr="00E849DD">
        <w:rPr>
          <w:rFonts w:ascii="Calibri" w:hAnsi="Calibri" w:cs="Calibri"/>
          <w:sz w:val="22"/>
          <w:szCs w:val="22"/>
        </w:rPr>
        <w:t>.</w:t>
      </w:r>
      <w:r w:rsidR="000C5414" w:rsidRPr="00E849DD">
        <w:rPr>
          <w:rFonts w:ascii="Calibri" w:hAnsi="Calibri" w:cs="Calibri"/>
          <w:sz w:val="22"/>
          <w:szCs w:val="22"/>
        </w:rPr>
        <w:t>"</w:t>
      </w:r>
    </w:p>
    <w:p w14:paraId="1A4443EF" w14:textId="047409C1" w:rsidR="00D91BA3" w:rsidRPr="00E849DD" w:rsidRDefault="00D91BA3" w:rsidP="00D37B1F">
      <w:pPr>
        <w:pStyle w:val="xmsolistparagraph"/>
        <w:numPr>
          <w:ilvl w:val="0"/>
          <w:numId w:val="7"/>
        </w:numPr>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rPr>
        <w:t>All CCGs must, as a minimum, invest in mental health services to meet the Mental Health Investment Standard.</w:t>
      </w:r>
    </w:p>
    <w:p w14:paraId="528F272C" w14:textId="77777777" w:rsidR="00546D1D" w:rsidRPr="00E849DD" w:rsidRDefault="00BB0C44" w:rsidP="00D37B1F">
      <w:pPr>
        <w:pStyle w:val="xmsolistparagraph"/>
        <w:numPr>
          <w:ilvl w:val="0"/>
          <w:numId w:val="7"/>
        </w:numPr>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rPr>
        <w:t xml:space="preserve">Alongside, </w:t>
      </w:r>
      <w:r w:rsidR="0019650F" w:rsidRPr="00E849DD">
        <w:rPr>
          <w:rFonts w:ascii="Calibri" w:hAnsi="Calibri" w:cs="Calibri"/>
          <w:sz w:val="22"/>
          <w:szCs w:val="22"/>
        </w:rPr>
        <w:t xml:space="preserve">improved accuracy of GP LD registers and reduced reliance on inpatient care for people with LD. </w:t>
      </w:r>
    </w:p>
    <w:p w14:paraId="2F110A3D" w14:textId="7610FBD3" w:rsidR="00546D1D" w:rsidRPr="00E849DD" w:rsidRDefault="00546D1D" w:rsidP="00D37B1F">
      <w:pPr>
        <w:pStyle w:val="xmsolistparagraph"/>
        <w:numPr>
          <w:ilvl w:val="0"/>
          <w:numId w:val="7"/>
        </w:numPr>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rPr>
        <w:t>I</w:t>
      </w:r>
      <w:r w:rsidR="000C5414" w:rsidRPr="00E849DD">
        <w:rPr>
          <w:rFonts w:ascii="Calibri" w:hAnsi="Calibri" w:cs="Calibri"/>
          <w:sz w:val="22"/>
          <w:szCs w:val="22"/>
        </w:rPr>
        <w:t>t is i</w:t>
      </w:r>
      <w:r w:rsidR="0019650F" w:rsidRPr="00E849DD">
        <w:rPr>
          <w:rFonts w:ascii="Calibri" w:hAnsi="Calibri" w:cs="Calibri"/>
          <w:sz w:val="22"/>
          <w:szCs w:val="22"/>
        </w:rPr>
        <w:t xml:space="preserve">ncreasing community capacity to enable more people to receive personalised </w:t>
      </w:r>
      <w:r w:rsidR="000F0CBD" w:rsidRPr="00E849DD">
        <w:rPr>
          <w:rFonts w:ascii="Calibri" w:hAnsi="Calibri" w:cs="Calibri"/>
          <w:sz w:val="22"/>
          <w:szCs w:val="22"/>
        </w:rPr>
        <w:t>care.</w:t>
      </w:r>
    </w:p>
    <w:p w14:paraId="53AFE708" w14:textId="6FBF1A00" w:rsidR="00420086" w:rsidRPr="00E849DD" w:rsidRDefault="000C5414" w:rsidP="00D37B1F">
      <w:pPr>
        <w:pStyle w:val="xmsolistparagraph"/>
        <w:numPr>
          <w:ilvl w:val="0"/>
          <w:numId w:val="7"/>
        </w:numPr>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rPr>
        <w:t>The a</w:t>
      </w:r>
      <w:r w:rsidR="0019650F" w:rsidRPr="00E849DD">
        <w:rPr>
          <w:rFonts w:ascii="Calibri" w:hAnsi="Calibri" w:cs="Calibri"/>
          <w:sz w:val="22"/>
          <w:szCs w:val="22"/>
        </w:rPr>
        <w:t xml:space="preserve">im is to tackle inequalities for people with LD by asking systems to implement the actions for the </w:t>
      </w:r>
      <w:proofErr w:type="spellStart"/>
      <w:r w:rsidR="0019650F" w:rsidRPr="00E849DD">
        <w:rPr>
          <w:rFonts w:ascii="Calibri" w:hAnsi="Calibri" w:cs="Calibri"/>
          <w:sz w:val="22"/>
          <w:szCs w:val="22"/>
        </w:rPr>
        <w:t>LeDeR</w:t>
      </w:r>
      <w:proofErr w:type="spellEnd"/>
      <w:r w:rsidR="0019650F" w:rsidRPr="00E849DD">
        <w:rPr>
          <w:rFonts w:ascii="Calibri" w:hAnsi="Calibri" w:cs="Calibri"/>
          <w:sz w:val="22"/>
          <w:szCs w:val="22"/>
        </w:rPr>
        <w:t xml:space="preserve"> reviews</w:t>
      </w:r>
      <w:r w:rsidR="00DD7B2A" w:rsidRPr="00E849DD">
        <w:rPr>
          <w:rFonts w:ascii="Calibri" w:hAnsi="Calibri" w:cs="Calibri"/>
          <w:sz w:val="22"/>
          <w:szCs w:val="22"/>
        </w:rPr>
        <w:t>.</w:t>
      </w:r>
      <w:r w:rsidR="0019650F" w:rsidRPr="00E849DD">
        <w:rPr>
          <w:rFonts w:ascii="Calibri" w:hAnsi="Calibri" w:cs="Calibri"/>
          <w:sz w:val="22"/>
          <w:szCs w:val="22"/>
        </w:rPr>
        <w:t xml:space="preserve">100% of </w:t>
      </w:r>
      <w:proofErr w:type="spellStart"/>
      <w:r w:rsidR="0019650F" w:rsidRPr="00E849DD">
        <w:rPr>
          <w:rFonts w:ascii="Calibri" w:hAnsi="Calibri" w:cs="Calibri"/>
          <w:sz w:val="22"/>
          <w:szCs w:val="22"/>
        </w:rPr>
        <w:t>LeDeR</w:t>
      </w:r>
      <w:proofErr w:type="spellEnd"/>
      <w:r w:rsidR="0019650F" w:rsidRPr="00E849DD">
        <w:rPr>
          <w:rFonts w:ascii="Calibri" w:hAnsi="Calibri" w:cs="Calibri"/>
          <w:sz w:val="22"/>
          <w:szCs w:val="22"/>
        </w:rPr>
        <w:t xml:space="preserve"> reviews to be completed within </w:t>
      </w:r>
      <w:r w:rsidRPr="00E849DD">
        <w:rPr>
          <w:rFonts w:ascii="Calibri" w:hAnsi="Calibri" w:cs="Calibri"/>
          <w:sz w:val="22"/>
          <w:szCs w:val="22"/>
        </w:rPr>
        <w:t>six</w:t>
      </w:r>
      <w:r w:rsidR="0019650F" w:rsidRPr="00E849DD">
        <w:rPr>
          <w:rFonts w:ascii="Calibri" w:hAnsi="Calibri" w:cs="Calibri"/>
          <w:sz w:val="22"/>
          <w:szCs w:val="22"/>
        </w:rPr>
        <w:t xml:space="preserve"> months of notification.</w:t>
      </w:r>
    </w:p>
    <w:p w14:paraId="72108072" w14:textId="77777777" w:rsidR="00E849DD" w:rsidRPr="00E849DD" w:rsidRDefault="00E849DD" w:rsidP="00D37B1F">
      <w:pPr>
        <w:pStyle w:val="xmsolistparagraph"/>
        <w:shd w:val="clear" w:color="auto" w:fill="FFFFFF"/>
        <w:spacing w:before="0" w:beforeAutospacing="0" w:after="0" w:afterAutospacing="0"/>
        <w:jc w:val="both"/>
        <w:rPr>
          <w:rFonts w:ascii="Calibri" w:hAnsi="Calibri" w:cs="Calibri"/>
          <w:sz w:val="22"/>
          <w:szCs w:val="22"/>
          <w:u w:val="single"/>
        </w:rPr>
      </w:pPr>
    </w:p>
    <w:p w14:paraId="758E2BDD" w14:textId="59ECF219" w:rsidR="000A2B4D" w:rsidRPr="00E849DD" w:rsidRDefault="000A2B4D" w:rsidP="00D37B1F">
      <w:pPr>
        <w:pStyle w:val="xmsolistparagraph"/>
        <w:shd w:val="clear" w:color="auto" w:fill="FFFFFF"/>
        <w:spacing w:before="0" w:beforeAutospacing="0" w:after="0" w:afterAutospacing="0"/>
        <w:jc w:val="both"/>
        <w:rPr>
          <w:rFonts w:ascii="Calibri" w:hAnsi="Calibri" w:cs="Calibri"/>
          <w:sz w:val="22"/>
          <w:szCs w:val="22"/>
          <w:u w:val="single"/>
        </w:rPr>
      </w:pPr>
      <w:r w:rsidRPr="00E849DD">
        <w:rPr>
          <w:rFonts w:ascii="Calibri" w:hAnsi="Calibri" w:cs="Calibri"/>
          <w:sz w:val="22"/>
          <w:szCs w:val="22"/>
          <w:u w:val="single"/>
        </w:rPr>
        <w:t>NTPS</w:t>
      </w:r>
      <w:r w:rsidR="006B0843" w:rsidRPr="00E849DD">
        <w:rPr>
          <w:rFonts w:ascii="Calibri" w:hAnsi="Calibri" w:cs="Calibri"/>
          <w:sz w:val="22"/>
          <w:szCs w:val="22"/>
          <w:u w:val="single"/>
        </w:rPr>
        <w:t xml:space="preserve"> (National Tariff Payment System)</w:t>
      </w:r>
    </w:p>
    <w:p w14:paraId="2484938C" w14:textId="39718378" w:rsidR="006B0843" w:rsidRPr="00E849DD" w:rsidRDefault="006B0843" w:rsidP="00D37B1F">
      <w:pPr>
        <w:spacing w:after="0" w:line="240" w:lineRule="auto"/>
        <w:jc w:val="both"/>
        <w:rPr>
          <w:rFonts w:ascii="Calibri" w:hAnsi="Calibri" w:cs="Calibri"/>
          <w:bdr w:val="none" w:sz="0" w:space="0" w:color="auto" w:frame="1"/>
        </w:rPr>
      </w:pPr>
      <w:r w:rsidRPr="00E849DD">
        <w:rPr>
          <w:rFonts w:ascii="Calibri" w:hAnsi="Calibri" w:cs="Calibri"/>
          <w:bdr w:val="none" w:sz="0" w:space="0" w:color="auto" w:frame="1"/>
        </w:rPr>
        <w:t>20/21 National Tariff Payment System (NTPS) remains in place from 1</w:t>
      </w:r>
      <w:r w:rsidRPr="00E849DD">
        <w:rPr>
          <w:rFonts w:ascii="Calibri" w:hAnsi="Calibri" w:cs="Calibri"/>
          <w:bdr w:val="none" w:sz="0" w:space="0" w:color="auto" w:frame="1"/>
          <w:vertAlign w:val="superscript"/>
        </w:rPr>
        <w:t>st</w:t>
      </w:r>
      <w:r w:rsidRPr="00E849DD">
        <w:rPr>
          <w:rFonts w:ascii="Calibri" w:hAnsi="Calibri" w:cs="Calibri"/>
          <w:bdr w:val="none" w:sz="0" w:space="0" w:color="auto" w:frame="1"/>
        </w:rPr>
        <w:t> April until the new 21/22 NTPS comes into force. NTPS should continue to be the basis for contracting and payment with non-NHS providers for services within the scope of the NTPS.</w:t>
      </w:r>
    </w:p>
    <w:p w14:paraId="52CD62D7" w14:textId="77777777" w:rsidR="00D37B1F" w:rsidRPr="00E849DD" w:rsidRDefault="00D37B1F" w:rsidP="00D37B1F">
      <w:pPr>
        <w:spacing w:after="0" w:line="240" w:lineRule="auto"/>
        <w:jc w:val="both"/>
      </w:pPr>
    </w:p>
    <w:p w14:paraId="4AC84EF6" w14:textId="77777777" w:rsidR="00A9725E" w:rsidRPr="00E849DD" w:rsidRDefault="000A2B4D" w:rsidP="00D37B1F">
      <w:pPr>
        <w:pStyle w:val="xmsolistparagraph"/>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rPr>
        <w:t xml:space="preserve">The </w:t>
      </w:r>
      <w:hyperlink r:id="rId8" w:history="1">
        <w:r w:rsidRPr="00E849DD">
          <w:rPr>
            <w:rStyle w:val="Hyperlink"/>
            <w:rFonts w:ascii="Calibri" w:hAnsi="Calibri" w:cs="Calibri"/>
            <w:color w:val="auto"/>
            <w:sz w:val="22"/>
            <w:szCs w:val="22"/>
          </w:rPr>
          <w:t>NTPS under consultation</w:t>
        </w:r>
      </w:hyperlink>
      <w:r w:rsidRPr="00E849DD">
        <w:rPr>
          <w:rFonts w:ascii="Calibri" w:hAnsi="Calibri" w:cs="Calibri"/>
          <w:sz w:val="22"/>
          <w:szCs w:val="22"/>
        </w:rPr>
        <w:t xml:space="preserve"> covers inflation and efficiency factors however, there are elements yet to be concluded and thus, we believe, CCGs should not start to implement fee uplifts until these matters are concluded and there has been consultation and engagement with providers.  </w:t>
      </w:r>
    </w:p>
    <w:p w14:paraId="70C8B105" w14:textId="77777777" w:rsidR="00D37B1F" w:rsidRPr="00E849DD" w:rsidRDefault="00D37B1F" w:rsidP="00D37B1F">
      <w:pPr>
        <w:pStyle w:val="xmsolistparagraph"/>
        <w:shd w:val="clear" w:color="auto" w:fill="FFFFFF"/>
        <w:spacing w:before="0" w:beforeAutospacing="0" w:after="0" w:afterAutospacing="0"/>
        <w:jc w:val="both"/>
        <w:rPr>
          <w:rFonts w:ascii="Calibri" w:hAnsi="Calibri" w:cs="Calibri"/>
          <w:sz w:val="22"/>
          <w:szCs w:val="22"/>
        </w:rPr>
      </w:pPr>
    </w:p>
    <w:p w14:paraId="5A0684D7" w14:textId="2C55C08D" w:rsidR="000A2B4D" w:rsidRPr="00E849DD" w:rsidRDefault="000A2B4D" w:rsidP="00D37B1F">
      <w:pPr>
        <w:pStyle w:val="xmsolistparagraph"/>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rPr>
        <w:t>Inflation/Efficiency points:</w:t>
      </w:r>
    </w:p>
    <w:p w14:paraId="3D9FAC4E" w14:textId="77777777" w:rsidR="00C06245" w:rsidRPr="00E849DD" w:rsidRDefault="000A2B4D" w:rsidP="00D37B1F">
      <w:pPr>
        <w:pStyle w:val="xmsolistparagraph"/>
        <w:numPr>
          <w:ilvl w:val="0"/>
          <w:numId w:val="8"/>
        </w:numPr>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rPr>
        <w:t>NHS Pay has not been settled and thus the proposed uplift calculation needs revision pending that announcement/adjustment</w:t>
      </w:r>
    </w:p>
    <w:p w14:paraId="63E42C45" w14:textId="26156084" w:rsidR="000A2B4D" w:rsidRPr="00E849DD" w:rsidRDefault="000A2B4D" w:rsidP="00D37B1F">
      <w:pPr>
        <w:pStyle w:val="xmsolistparagraph"/>
        <w:numPr>
          <w:ilvl w:val="0"/>
          <w:numId w:val="8"/>
        </w:numPr>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rPr>
        <w:t>Efficiency Factor is based on work completed 5 years ago, which does not accurately reflect the non-acute sector (it is based on acute NHS hospitals) or reflect the changing platform post covid or that 70% of care home costs are pay related more closely tracking NMW than acute trusts pay</w:t>
      </w:r>
      <w:r w:rsidR="00C06245" w:rsidRPr="00E849DD">
        <w:rPr>
          <w:rFonts w:ascii="Calibri" w:hAnsi="Calibri" w:cs="Calibri"/>
          <w:sz w:val="22"/>
          <w:szCs w:val="22"/>
        </w:rPr>
        <w:t>.</w:t>
      </w:r>
    </w:p>
    <w:p w14:paraId="3D9ECF17" w14:textId="77777777" w:rsidR="00D37B1F" w:rsidRPr="00E849DD" w:rsidRDefault="00D37B1F" w:rsidP="00D37B1F">
      <w:pPr>
        <w:pStyle w:val="xmsolistparagraph"/>
        <w:shd w:val="clear" w:color="auto" w:fill="FFFFFF"/>
        <w:spacing w:before="0" w:beforeAutospacing="0" w:after="0" w:afterAutospacing="0"/>
        <w:jc w:val="both"/>
        <w:rPr>
          <w:rFonts w:ascii="Calibri" w:hAnsi="Calibri" w:cs="Calibri"/>
          <w:sz w:val="22"/>
          <w:szCs w:val="22"/>
        </w:rPr>
      </w:pPr>
    </w:p>
    <w:p w14:paraId="762A2FE2" w14:textId="5E3BF7D0" w:rsidR="00C06245" w:rsidRPr="00E849DD" w:rsidRDefault="000A2B4D" w:rsidP="00D37B1F">
      <w:pPr>
        <w:pStyle w:val="xmsolistparagraph"/>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rPr>
        <w:t>The obligations remain unchanged for CCGs when determining prices to:</w:t>
      </w:r>
    </w:p>
    <w:p w14:paraId="74A46A04" w14:textId="77777777" w:rsidR="00C06245" w:rsidRPr="00E849DD" w:rsidRDefault="000A2B4D" w:rsidP="00D37B1F">
      <w:pPr>
        <w:pStyle w:val="xmsolistparagraph"/>
        <w:numPr>
          <w:ilvl w:val="0"/>
          <w:numId w:val="9"/>
        </w:numPr>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rPr>
        <w:t>Act in best interest of patients/resident</w:t>
      </w:r>
      <w:r w:rsidR="00C06245" w:rsidRPr="00E849DD">
        <w:rPr>
          <w:rFonts w:ascii="Calibri" w:hAnsi="Calibri" w:cs="Calibri"/>
          <w:sz w:val="22"/>
          <w:szCs w:val="22"/>
        </w:rPr>
        <w:t>s</w:t>
      </w:r>
    </w:p>
    <w:p w14:paraId="7ABA9D70" w14:textId="77777777" w:rsidR="00C06245" w:rsidRPr="00E849DD" w:rsidRDefault="000A2B4D" w:rsidP="00D37B1F">
      <w:pPr>
        <w:pStyle w:val="xmsolistparagraph"/>
        <w:numPr>
          <w:ilvl w:val="0"/>
          <w:numId w:val="9"/>
        </w:numPr>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rPr>
        <w:t>Be Transparent</w:t>
      </w:r>
    </w:p>
    <w:p w14:paraId="7EEA8D53" w14:textId="5E094E80" w:rsidR="009E4E25" w:rsidRPr="00E849DD" w:rsidRDefault="000A2B4D" w:rsidP="00D37B1F">
      <w:pPr>
        <w:pStyle w:val="xmsolistparagraph"/>
        <w:numPr>
          <w:ilvl w:val="0"/>
          <w:numId w:val="9"/>
        </w:numPr>
        <w:shd w:val="clear" w:color="auto" w:fill="FFFFFF"/>
        <w:spacing w:before="0" w:beforeAutospacing="0" w:after="0" w:afterAutospacing="0"/>
        <w:jc w:val="both"/>
        <w:rPr>
          <w:rFonts w:ascii="Calibri" w:hAnsi="Calibri" w:cs="Calibri"/>
          <w:sz w:val="22"/>
          <w:szCs w:val="22"/>
        </w:rPr>
      </w:pPr>
      <w:r w:rsidRPr="00E849DD">
        <w:rPr>
          <w:rFonts w:ascii="Calibri" w:hAnsi="Calibri" w:cs="Calibri"/>
          <w:sz w:val="22"/>
          <w:szCs w:val="22"/>
        </w:rPr>
        <w:t>Consult/Engage with providers</w:t>
      </w:r>
    </w:p>
    <w:p w14:paraId="2873EDDB" w14:textId="77777777" w:rsidR="00E849DD" w:rsidRPr="00E849DD" w:rsidRDefault="00E849DD" w:rsidP="00D37B1F">
      <w:pPr>
        <w:spacing w:after="0" w:line="240" w:lineRule="auto"/>
        <w:jc w:val="both"/>
        <w:rPr>
          <w:u w:val="single"/>
        </w:rPr>
      </w:pPr>
    </w:p>
    <w:p w14:paraId="234E3338" w14:textId="7E1C8DAC" w:rsidR="000F79A4" w:rsidRPr="00E849DD" w:rsidRDefault="00F203E2" w:rsidP="00D37B1F">
      <w:pPr>
        <w:spacing w:after="0" w:line="240" w:lineRule="auto"/>
        <w:jc w:val="both"/>
        <w:rPr>
          <w:u w:val="single"/>
        </w:rPr>
      </w:pPr>
      <w:r w:rsidRPr="00E849DD">
        <w:rPr>
          <w:u w:val="single"/>
        </w:rPr>
        <w:t>Upco</w:t>
      </w:r>
      <w:r w:rsidR="00C67B2F" w:rsidRPr="00E849DD">
        <w:rPr>
          <w:u w:val="single"/>
        </w:rPr>
        <w:t xml:space="preserve">ming developments: </w:t>
      </w:r>
    </w:p>
    <w:p w14:paraId="6B89ABF4" w14:textId="77777777" w:rsidR="00E849DD" w:rsidRPr="00E849DD" w:rsidRDefault="00E849DD" w:rsidP="00D37B1F">
      <w:pPr>
        <w:spacing w:after="0" w:line="240" w:lineRule="auto"/>
        <w:jc w:val="both"/>
      </w:pPr>
    </w:p>
    <w:p w14:paraId="63BD2406" w14:textId="1B9693AD" w:rsidR="00A17F62" w:rsidRPr="00E849DD" w:rsidRDefault="00A17F62" w:rsidP="00D37B1F">
      <w:pPr>
        <w:spacing w:after="0" w:line="240" w:lineRule="auto"/>
        <w:jc w:val="both"/>
      </w:pPr>
      <w:r w:rsidRPr="00E849DD">
        <w:t xml:space="preserve">Going forward, the documents indicate that </w:t>
      </w:r>
      <w:r w:rsidR="000C5414" w:rsidRPr="00E849DD">
        <w:t>several</w:t>
      </w:r>
      <w:r w:rsidRPr="00E849DD">
        <w:t xml:space="preserve"> pieces of guidance are still to be issued, including:</w:t>
      </w:r>
    </w:p>
    <w:p w14:paraId="7AAC0AC4" w14:textId="77777777" w:rsidR="00E849DD" w:rsidRPr="00E849DD" w:rsidRDefault="00E849DD" w:rsidP="00D37B1F">
      <w:pPr>
        <w:spacing w:after="0" w:line="240" w:lineRule="auto"/>
        <w:jc w:val="both"/>
      </w:pPr>
    </w:p>
    <w:p w14:paraId="7AE603F5" w14:textId="7E6120B1" w:rsidR="00A17F62" w:rsidRPr="00E849DD" w:rsidRDefault="00A17F62" w:rsidP="00D37B1F">
      <w:pPr>
        <w:pStyle w:val="ListParagraph"/>
        <w:numPr>
          <w:ilvl w:val="0"/>
          <w:numId w:val="3"/>
        </w:numPr>
        <w:spacing w:after="0" w:line="240" w:lineRule="auto"/>
        <w:jc w:val="both"/>
      </w:pPr>
      <w:r w:rsidRPr="00E849DD">
        <w:t xml:space="preserve">Those future developments surrounding Commissioning for Quality and Innovation (CQUIN). </w:t>
      </w:r>
      <w:r w:rsidR="00DB269C" w:rsidRPr="00E849DD">
        <w:t>No 21/22 CQUIN scheme published at this stage</w:t>
      </w:r>
      <w:r w:rsidR="007271AC" w:rsidRPr="00E849DD">
        <w:t>.</w:t>
      </w:r>
      <w:r w:rsidR="00DB269C" w:rsidRPr="00E849DD">
        <w:t xml:space="preserve"> The NTPS consultation proposes CQUIN be brought within the scope of the NTPS.</w:t>
      </w:r>
    </w:p>
    <w:p w14:paraId="70A9D54A" w14:textId="19E5F073" w:rsidR="00A17F62" w:rsidRPr="00E849DD" w:rsidRDefault="003A7B2E" w:rsidP="00D37B1F">
      <w:pPr>
        <w:pStyle w:val="ListParagraph"/>
        <w:numPr>
          <w:ilvl w:val="0"/>
          <w:numId w:val="3"/>
        </w:numPr>
        <w:spacing w:after="0" w:line="240" w:lineRule="auto"/>
        <w:jc w:val="both"/>
      </w:pPr>
      <w:r w:rsidRPr="00E849DD">
        <w:t xml:space="preserve">Given that the </w:t>
      </w:r>
      <w:r w:rsidR="007C0099" w:rsidRPr="00E849DD">
        <w:t>financial settlement</w:t>
      </w:r>
      <w:r w:rsidR="0048651A" w:rsidRPr="00E849DD">
        <w:t xml:space="preserve"> only </w:t>
      </w:r>
      <w:r w:rsidR="00863B7C" w:rsidRPr="00E849DD">
        <w:t>covers</w:t>
      </w:r>
      <w:r w:rsidR="0048651A" w:rsidRPr="00E849DD">
        <w:t xml:space="preserve"> the first </w:t>
      </w:r>
      <w:r w:rsidR="000C5414" w:rsidRPr="00E849DD">
        <w:t>six</w:t>
      </w:r>
      <w:r w:rsidR="0048651A" w:rsidRPr="00E849DD">
        <w:t xml:space="preserve"> months of this financial year, we expect</w:t>
      </w:r>
      <w:r w:rsidR="00AD48A7" w:rsidRPr="00E849DD">
        <w:t xml:space="preserve"> further </w:t>
      </w:r>
      <w:r w:rsidR="007C0099" w:rsidRPr="00E849DD">
        <w:t>detail for months</w:t>
      </w:r>
      <w:r w:rsidR="000C5414" w:rsidRPr="00E849DD">
        <w:t xml:space="preserve"> seven to twelve</w:t>
      </w:r>
      <w:r w:rsidR="007C0099" w:rsidRPr="00E849DD">
        <w:t xml:space="preserve"> later this year. </w:t>
      </w:r>
    </w:p>
    <w:p w14:paraId="4ECA765F" w14:textId="77777777" w:rsidR="004524D7" w:rsidRPr="00E849DD" w:rsidRDefault="007271AC" w:rsidP="00D37B1F">
      <w:pPr>
        <w:pStyle w:val="ListParagraph"/>
        <w:numPr>
          <w:ilvl w:val="0"/>
          <w:numId w:val="3"/>
        </w:numPr>
        <w:spacing w:after="0" w:line="240" w:lineRule="auto"/>
        <w:jc w:val="both"/>
      </w:pPr>
      <w:r w:rsidRPr="00E849DD">
        <w:t xml:space="preserve">Further detail regarding hospital discharge </w:t>
      </w:r>
      <w:r w:rsidR="00274644" w:rsidRPr="00E849DD">
        <w:t>reimbursement arrangements is expected.</w:t>
      </w:r>
    </w:p>
    <w:p w14:paraId="68BCF185" w14:textId="28EC6DE1" w:rsidR="00863B7C" w:rsidRPr="00E849DD" w:rsidRDefault="004524D7" w:rsidP="00D37B1F">
      <w:pPr>
        <w:pStyle w:val="ListParagraph"/>
        <w:numPr>
          <w:ilvl w:val="0"/>
          <w:numId w:val="3"/>
        </w:numPr>
        <w:spacing w:after="0" w:line="240" w:lineRule="auto"/>
        <w:jc w:val="both"/>
      </w:pPr>
      <w:r w:rsidRPr="00E849DD">
        <w:rPr>
          <w:rFonts w:ascii="Calibri" w:hAnsi="Calibri" w:cs="Calibri"/>
          <w:bdr w:val="none" w:sz="0" w:space="0" w:color="auto" w:frame="1"/>
        </w:rPr>
        <w:t>Governance arrangements will be confirmed in due course for the NHS and Health and Care Partnership bodies.</w:t>
      </w:r>
      <w:r w:rsidR="00274644" w:rsidRPr="00E849DD">
        <w:t xml:space="preserve"> </w:t>
      </w:r>
    </w:p>
    <w:p w14:paraId="11401813" w14:textId="0FE47E5F" w:rsidR="00092FF3" w:rsidRPr="00E849DD" w:rsidRDefault="00092FF3" w:rsidP="00D37B1F">
      <w:pPr>
        <w:pStyle w:val="ListParagraph"/>
        <w:numPr>
          <w:ilvl w:val="0"/>
          <w:numId w:val="3"/>
        </w:numPr>
        <w:spacing w:after="0" w:line="240" w:lineRule="auto"/>
        <w:jc w:val="both"/>
      </w:pPr>
      <w:r w:rsidRPr="00E849DD">
        <w:lastRenderedPageBreak/>
        <w:t xml:space="preserve">The NHS is asking systems to review and refresh their people plans to reflect the progress made in 2020/21. In turn, this may have some impact </w:t>
      </w:r>
      <w:r w:rsidR="000C5414" w:rsidRPr="00E849DD">
        <w:t>o</w:t>
      </w:r>
      <w:r w:rsidRPr="00E849DD">
        <w:t xml:space="preserve">n your local areas. </w:t>
      </w:r>
    </w:p>
    <w:p w14:paraId="0EE29B04" w14:textId="77777777" w:rsidR="00E849DD" w:rsidRPr="00E849DD" w:rsidRDefault="00E849DD" w:rsidP="00D37B1F">
      <w:pPr>
        <w:spacing w:after="0" w:line="240" w:lineRule="auto"/>
        <w:jc w:val="both"/>
      </w:pPr>
    </w:p>
    <w:p w14:paraId="2EA223C6" w14:textId="352606E0" w:rsidR="003A7B2E" w:rsidRPr="00E849DD" w:rsidRDefault="009B0916" w:rsidP="00D37B1F">
      <w:pPr>
        <w:spacing w:after="0" w:line="240" w:lineRule="auto"/>
        <w:jc w:val="both"/>
      </w:pPr>
      <w:r w:rsidRPr="00E849DD">
        <w:t>Finally,</w:t>
      </w:r>
      <w:r w:rsidR="007B7914" w:rsidRPr="00E849DD">
        <w:t xml:space="preserve"> we would point members towards</w:t>
      </w:r>
      <w:r w:rsidR="000667EC" w:rsidRPr="00E849DD">
        <w:t xml:space="preserve"> the planning documents themselve</w:t>
      </w:r>
      <w:r w:rsidRPr="00E849DD">
        <w:t>s</w:t>
      </w:r>
      <w:r w:rsidR="000C5414" w:rsidRPr="00E849DD">
        <w:t>,</w:t>
      </w:r>
      <w:r w:rsidRPr="00E849DD">
        <w:t xml:space="preserve"> which can be found at the following link: </w:t>
      </w:r>
      <w:hyperlink r:id="rId9" w:history="1">
        <w:r w:rsidRPr="00E849DD">
          <w:rPr>
            <w:rStyle w:val="Hyperlink"/>
            <w:color w:val="auto"/>
          </w:rPr>
          <w:t>NHS England</w:t>
        </w:r>
      </w:hyperlink>
    </w:p>
    <w:p w14:paraId="0A7F6170" w14:textId="77777777" w:rsidR="00E849DD" w:rsidRPr="00E849DD" w:rsidRDefault="00E849DD" w:rsidP="00D37B1F">
      <w:pPr>
        <w:spacing w:after="0" w:line="240" w:lineRule="auto"/>
        <w:jc w:val="both"/>
      </w:pPr>
    </w:p>
    <w:p w14:paraId="0AF93C0C" w14:textId="0E78713C" w:rsidR="009B0916" w:rsidRDefault="009B0916" w:rsidP="00D37B1F">
      <w:pPr>
        <w:spacing w:after="0" w:line="240" w:lineRule="auto"/>
        <w:jc w:val="both"/>
      </w:pPr>
      <w:r w:rsidRPr="00E849DD">
        <w:t xml:space="preserve">If you have any thoughts or worries, please contact </w:t>
      </w:r>
      <w:hyperlink r:id="rId10" w:history="1">
        <w:r w:rsidRPr="00E849DD">
          <w:rPr>
            <w:rStyle w:val="Hyperlink"/>
            <w:color w:val="auto"/>
          </w:rPr>
          <w:t>Rwilliams@careengland.org.uk</w:t>
        </w:r>
      </w:hyperlink>
      <w:r w:rsidRPr="00E849DD">
        <w:t xml:space="preserve"> </w:t>
      </w:r>
    </w:p>
    <w:p w14:paraId="3D9CB761" w14:textId="4033E100" w:rsidR="00BD13CD" w:rsidRDefault="00BD13CD" w:rsidP="00D37B1F">
      <w:pPr>
        <w:spacing w:after="0" w:line="240" w:lineRule="auto"/>
        <w:jc w:val="both"/>
      </w:pPr>
    </w:p>
    <w:p w14:paraId="214B91E5" w14:textId="219189AA" w:rsidR="00BD13CD" w:rsidRPr="00E849DD" w:rsidRDefault="00BD13CD" w:rsidP="00D37B1F">
      <w:pPr>
        <w:spacing w:after="0" w:line="240" w:lineRule="auto"/>
        <w:jc w:val="both"/>
      </w:pPr>
      <w:r>
        <w:t>April 2021</w:t>
      </w:r>
    </w:p>
    <w:p w14:paraId="3E55A97D" w14:textId="4D7CDB30" w:rsidR="005111F8" w:rsidRPr="00092FF3" w:rsidRDefault="005111F8" w:rsidP="00092FF3">
      <w:pPr>
        <w:pStyle w:val="xmsolistparagraph"/>
        <w:shd w:val="clear" w:color="auto" w:fill="FFFFFF"/>
        <w:spacing w:before="0" w:beforeAutospacing="0" w:after="0" w:afterAutospacing="0"/>
        <w:rPr>
          <w:rFonts w:ascii="Calibri" w:hAnsi="Calibri" w:cs="Calibri"/>
          <w:color w:val="201F1E"/>
          <w:sz w:val="22"/>
          <w:szCs w:val="22"/>
        </w:rPr>
      </w:pPr>
    </w:p>
    <w:sectPr w:rsidR="005111F8" w:rsidRPr="00092FF3" w:rsidSect="00BD13CD">
      <w:footerReference w:type="default" r:id="rId11"/>
      <w:pgSz w:w="11906" w:h="16838"/>
      <w:pgMar w:top="851" w:right="1440" w:bottom="1440"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B833C" w14:textId="77777777" w:rsidR="002D078A" w:rsidRDefault="002D078A" w:rsidP="00BD13CD">
      <w:pPr>
        <w:spacing w:after="0" w:line="240" w:lineRule="auto"/>
      </w:pPr>
      <w:r>
        <w:separator/>
      </w:r>
    </w:p>
  </w:endnote>
  <w:endnote w:type="continuationSeparator" w:id="0">
    <w:p w14:paraId="488149B5" w14:textId="77777777" w:rsidR="002D078A" w:rsidRDefault="002D078A" w:rsidP="00BD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B1806" w14:textId="77777777" w:rsidR="00BD13CD" w:rsidRPr="00DE7673" w:rsidRDefault="00BD13CD" w:rsidP="00BD13CD">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p w14:paraId="1CB69E87" w14:textId="77777777" w:rsidR="00BD13CD" w:rsidRDefault="00BD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70142" w14:textId="77777777" w:rsidR="002D078A" w:rsidRDefault="002D078A" w:rsidP="00BD13CD">
      <w:pPr>
        <w:spacing w:after="0" w:line="240" w:lineRule="auto"/>
      </w:pPr>
      <w:r>
        <w:separator/>
      </w:r>
    </w:p>
  </w:footnote>
  <w:footnote w:type="continuationSeparator" w:id="0">
    <w:p w14:paraId="60F3C54D" w14:textId="77777777" w:rsidR="002D078A" w:rsidRDefault="002D078A" w:rsidP="00BD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D2EB7"/>
    <w:multiLevelType w:val="hybridMultilevel"/>
    <w:tmpl w:val="9AB8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B50C5"/>
    <w:multiLevelType w:val="hybridMultilevel"/>
    <w:tmpl w:val="9A74D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411A4"/>
    <w:multiLevelType w:val="hybridMultilevel"/>
    <w:tmpl w:val="ED9A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8785F"/>
    <w:multiLevelType w:val="hybridMultilevel"/>
    <w:tmpl w:val="5F78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674965"/>
    <w:multiLevelType w:val="hybridMultilevel"/>
    <w:tmpl w:val="E9F2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B6B71"/>
    <w:multiLevelType w:val="hybridMultilevel"/>
    <w:tmpl w:val="320EC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43B1F"/>
    <w:multiLevelType w:val="hybridMultilevel"/>
    <w:tmpl w:val="AD40F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322AA"/>
    <w:multiLevelType w:val="hybridMultilevel"/>
    <w:tmpl w:val="1F8E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AF48A0"/>
    <w:multiLevelType w:val="multilevel"/>
    <w:tmpl w:val="C514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4"/>
  </w:num>
  <w:num w:numId="4">
    <w:abstractNumId w:val="7"/>
  </w:num>
  <w:num w:numId="5">
    <w:abstractNumId w:val="3"/>
  </w:num>
  <w:num w:numId="6">
    <w:abstractNumId w:val="0"/>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MAfSxpYmhpYGxko6SsGpxcWZ+XkgBca1AKP+Va4sAAAA"/>
  </w:docVars>
  <w:rsids>
    <w:rsidRoot w:val="005111F8"/>
    <w:rsid w:val="000667EC"/>
    <w:rsid w:val="00092FF3"/>
    <w:rsid w:val="000A2B4D"/>
    <w:rsid w:val="000C5414"/>
    <w:rsid w:val="000F0CBD"/>
    <w:rsid w:val="000F79A4"/>
    <w:rsid w:val="00114395"/>
    <w:rsid w:val="0015436B"/>
    <w:rsid w:val="00163BDB"/>
    <w:rsid w:val="0019650F"/>
    <w:rsid w:val="00274644"/>
    <w:rsid w:val="00277526"/>
    <w:rsid w:val="002B37EA"/>
    <w:rsid w:val="002D078A"/>
    <w:rsid w:val="002F22B6"/>
    <w:rsid w:val="003853D8"/>
    <w:rsid w:val="003A7B2E"/>
    <w:rsid w:val="00420086"/>
    <w:rsid w:val="00434AB6"/>
    <w:rsid w:val="004524D7"/>
    <w:rsid w:val="00452688"/>
    <w:rsid w:val="0048651A"/>
    <w:rsid w:val="004A6414"/>
    <w:rsid w:val="005111F8"/>
    <w:rsid w:val="00536611"/>
    <w:rsid w:val="00546D1D"/>
    <w:rsid w:val="005F6D20"/>
    <w:rsid w:val="00624CCF"/>
    <w:rsid w:val="00673EE8"/>
    <w:rsid w:val="006A6461"/>
    <w:rsid w:val="006B0843"/>
    <w:rsid w:val="006C7D2F"/>
    <w:rsid w:val="007271AC"/>
    <w:rsid w:val="00727BEF"/>
    <w:rsid w:val="0074798F"/>
    <w:rsid w:val="007B7914"/>
    <w:rsid w:val="007C0099"/>
    <w:rsid w:val="00863B7C"/>
    <w:rsid w:val="008946FB"/>
    <w:rsid w:val="008F62CC"/>
    <w:rsid w:val="009715CC"/>
    <w:rsid w:val="009A4605"/>
    <w:rsid w:val="009B0916"/>
    <w:rsid w:val="009B5BB5"/>
    <w:rsid w:val="009E4E25"/>
    <w:rsid w:val="00A011A9"/>
    <w:rsid w:val="00A17F62"/>
    <w:rsid w:val="00A3391C"/>
    <w:rsid w:val="00A46689"/>
    <w:rsid w:val="00A52F53"/>
    <w:rsid w:val="00A9725E"/>
    <w:rsid w:val="00AC6F8F"/>
    <w:rsid w:val="00AD48A7"/>
    <w:rsid w:val="00BB0C44"/>
    <w:rsid w:val="00BD13CD"/>
    <w:rsid w:val="00C06245"/>
    <w:rsid w:val="00C67B2F"/>
    <w:rsid w:val="00C756C0"/>
    <w:rsid w:val="00C82077"/>
    <w:rsid w:val="00D10341"/>
    <w:rsid w:val="00D1097E"/>
    <w:rsid w:val="00D37B1F"/>
    <w:rsid w:val="00D91BA3"/>
    <w:rsid w:val="00DB269C"/>
    <w:rsid w:val="00DD6123"/>
    <w:rsid w:val="00DD7B2A"/>
    <w:rsid w:val="00E151EA"/>
    <w:rsid w:val="00E26CA0"/>
    <w:rsid w:val="00E849DD"/>
    <w:rsid w:val="00EF5075"/>
    <w:rsid w:val="00F16748"/>
    <w:rsid w:val="00F203E2"/>
    <w:rsid w:val="00FB64F5"/>
    <w:rsid w:val="00FC6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6E68E"/>
  <w15:chartTrackingRefBased/>
  <w15:docId w15:val="{8372CF2E-79F8-43F5-A2EB-BF45B840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5111F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17F62"/>
    <w:pPr>
      <w:ind w:left="720"/>
      <w:contextualSpacing/>
    </w:pPr>
  </w:style>
  <w:style w:type="character" w:styleId="Hyperlink">
    <w:name w:val="Hyperlink"/>
    <w:basedOn w:val="DefaultParagraphFont"/>
    <w:uiPriority w:val="99"/>
    <w:unhideWhenUsed/>
    <w:rsid w:val="009B0916"/>
    <w:rPr>
      <w:color w:val="0563C1" w:themeColor="hyperlink"/>
      <w:u w:val="single"/>
    </w:rPr>
  </w:style>
  <w:style w:type="character" w:styleId="UnresolvedMention">
    <w:name w:val="Unresolved Mention"/>
    <w:basedOn w:val="DefaultParagraphFont"/>
    <w:uiPriority w:val="99"/>
    <w:semiHidden/>
    <w:unhideWhenUsed/>
    <w:rsid w:val="009B0916"/>
    <w:rPr>
      <w:color w:val="605E5C"/>
      <w:shd w:val="clear" w:color="auto" w:fill="E1DFDD"/>
    </w:rPr>
  </w:style>
  <w:style w:type="paragraph" w:styleId="Header">
    <w:name w:val="header"/>
    <w:basedOn w:val="Normal"/>
    <w:link w:val="HeaderChar"/>
    <w:uiPriority w:val="99"/>
    <w:unhideWhenUsed/>
    <w:rsid w:val="00BD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3CD"/>
  </w:style>
  <w:style w:type="paragraph" w:styleId="Footer">
    <w:name w:val="footer"/>
    <w:basedOn w:val="Normal"/>
    <w:link w:val="FooterChar"/>
    <w:uiPriority w:val="99"/>
    <w:unhideWhenUsed/>
    <w:rsid w:val="00BD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888274">
      <w:bodyDiv w:val="1"/>
      <w:marLeft w:val="0"/>
      <w:marRight w:val="0"/>
      <w:marTop w:val="0"/>
      <w:marBottom w:val="0"/>
      <w:divBdr>
        <w:top w:val="none" w:sz="0" w:space="0" w:color="auto"/>
        <w:left w:val="none" w:sz="0" w:space="0" w:color="auto"/>
        <w:bottom w:val="none" w:sz="0" w:space="0" w:color="auto"/>
        <w:right w:val="none" w:sz="0" w:space="0" w:color="auto"/>
      </w:divBdr>
      <w:divsChild>
        <w:div w:id="548417247">
          <w:marLeft w:val="465"/>
          <w:marRight w:val="0"/>
          <w:marTop w:val="0"/>
          <w:marBottom w:val="0"/>
          <w:divBdr>
            <w:top w:val="none" w:sz="0" w:space="0" w:color="auto"/>
            <w:left w:val="none" w:sz="0" w:space="0" w:color="auto"/>
            <w:bottom w:val="none" w:sz="0" w:space="0" w:color="auto"/>
            <w:right w:val="none" w:sz="0" w:space="0" w:color="auto"/>
          </w:divBdr>
          <w:divsChild>
            <w:div w:id="849297703">
              <w:marLeft w:val="0"/>
              <w:marRight w:val="0"/>
              <w:marTop w:val="0"/>
              <w:marBottom w:val="0"/>
              <w:divBdr>
                <w:top w:val="none" w:sz="0" w:space="0" w:color="auto"/>
                <w:left w:val="none" w:sz="0" w:space="0" w:color="auto"/>
                <w:bottom w:val="none" w:sz="0" w:space="0" w:color="auto"/>
                <w:right w:val="none" w:sz="0" w:space="0" w:color="auto"/>
              </w:divBdr>
              <w:divsChild>
                <w:div w:id="592057140">
                  <w:marLeft w:val="0"/>
                  <w:marRight w:val="0"/>
                  <w:marTop w:val="0"/>
                  <w:marBottom w:val="0"/>
                  <w:divBdr>
                    <w:top w:val="none" w:sz="0" w:space="0" w:color="auto"/>
                    <w:left w:val="none" w:sz="0" w:space="0" w:color="auto"/>
                    <w:bottom w:val="none" w:sz="0" w:space="0" w:color="auto"/>
                    <w:right w:val="none" w:sz="0" w:space="0" w:color="auto"/>
                  </w:divBdr>
                  <w:divsChild>
                    <w:div w:id="697580626">
                      <w:marLeft w:val="0"/>
                      <w:marRight w:val="0"/>
                      <w:marTop w:val="0"/>
                      <w:marBottom w:val="0"/>
                      <w:divBdr>
                        <w:top w:val="none" w:sz="0" w:space="0" w:color="auto"/>
                        <w:left w:val="none" w:sz="0" w:space="0" w:color="auto"/>
                        <w:bottom w:val="none" w:sz="0" w:space="0" w:color="auto"/>
                        <w:right w:val="none" w:sz="0" w:space="0" w:color="auto"/>
                      </w:divBdr>
                      <w:divsChild>
                        <w:div w:id="737705136">
                          <w:marLeft w:val="0"/>
                          <w:marRight w:val="0"/>
                          <w:marTop w:val="0"/>
                          <w:marBottom w:val="0"/>
                          <w:divBdr>
                            <w:top w:val="none" w:sz="0" w:space="0" w:color="auto"/>
                            <w:left w:val="none" w:sz="0" w:space="0" w:color="auto"/>
                            <w:bottom w:val="none" w:sz="0" w:space="0" w:color="auto"/>
                            <w:right w:val="none" w:sz="0" w:space="0" w:color="auto"/>
                          </w:divBdr>
                          <w:divsChild>
                            <w:div w:id="1488984480">
                              <w:marLeft w:val="0"/>
                              <w:marRight w:val="0"/>
                              <w:marTop w:val="0"/>
                              <w:marBottom w:val="0"/>
                              <w:divBdr>
                                <w:top w:val="none" w:sz="0" w:space="0" w:color="auto"/>
                                <w:left w:val="none" w:sz="0" w:space="0" w:color="auto"/>
                                <w:bottom w:val="none" w:sz="0" w:space="0" w:color="auto"/>
                                <w:right w:val="none" w:sz="0" w:space="0" w:color="auto"/>
                              </w:divBdr>
                              <w:divsChild>
                                <w:div w:id="2094890052">
                                  <w:marLeft w:val="0"/>
                                  <w:marRight w:val="0"/>
                                  <w:marTop w:val="0"/>
                                  <w:marBottom w:val="0"/>
                                  <w:divBdr>
                                    <w:top w:val="none" w:sz="0" w:space="0" w:color="auto"/>
                                    <w:left w:val="none" w:sz="0" w:space="0" w:color="auto"/>
                                    <w:bottom w:val="none" w:sz="0" w:space="0" w:color="auto"/>
                                    <w:right w:val="none" w:sz="0" w:space="0" w:color="auto"/>
                                  </w:divBdr>
                                </w:div>
                                <w:div w:id="9618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48924">
          <w:marLeft w:val="465"/>
          <w:marRight w:val="0"/>
          <w:marTop w:val="0"/>
          <w:marBottom w:val="0"/>
          <w:divBdr>
            <w:top w:val="none" w:sz="0" w:space="0" w:color="auto"/>
            <w:left w:val="none" w:sz="0" w:space="0" w:color="auto"/>
            <w:bottom w:val="none" w:sz="0" w:space="0" w:color="auto"/>
            <w:right w:val="none" w:sz="0" w:space="0" w:color="auto"/>
          </w:divBdr>
          <w:divsChild>
            <w:div w:id="1175923102">
              <w:marLeft w:val="0"/>
              <w:marRight w:val="0"/>
              <w:marTop w:val="0"/>
              <w:marBottom w:val="0"/>
              <w:divBdr>
                <w:top w:val="none" w:sz="0" w:space="0" w:color="auto"/>
                <w:left w:val="none" w:sz="0" w:space="0" w:color="auto"/>
                <w:bottom w:val="none" w:sz="0" w:space="0" w:color="auto"/>
                <w:right w:val="none" w:sz="0" w:space="0" w:color="auto"/>
              </w:divBdr>
              <w:divsChild>
                <w:div w:id="1273174203">
                  <w:marLeft w:val="0"/>
                  <w:marRight w:val="0"/>
                  <w:marTop w:val="0"/>
                  <w:marBottom w:val="0"/>
                  <w:divBdr>
                    <w:top w:val="none" w:sz="0" w:space="0" w:color="auto"/>
                    <w:left w:val="none" w:sz="0" w:space="0" w:color="auto"/>
                    <w:bottom w:val="none" w:sz="0" w:space="0" w:color="auto"/>
                    <w:right w:val="none" w:sz="0" w:space="0" w:color="auto"/>
                  </w:divBdr>
                  <w:divsChild>
                    <w:div w:id="881132996">
                      <w:marLeft w:val="0"/>
                      <w:marRight w:val="0"/>
                      <w:marTop w:val="0"/>
                      <w:marBottom w:val="0"/>
                      <w:divBdr>
                        <w:top w:val="none" w:sz="0" w:space="0" w:color="auto"/>
                        <w:left w:val="none" w:sz="0" w:space="0" w:color="auto"/>
                        <w:bottom w:val="none" w:sz="0" w:space="0" w:color="auto"/>
                        <w:right w:val="none" w:sz="0" w:space="0" w:color="auto"/>
                      </w:divBdr>
                      <w:divsChild>
                        <w:div w:id="1468165693">
                          <w:marLeft w:val="0"/>
                          <w:marRight w:val="0"/>
                          <w:marTop w:val="0"/>
                          <w:marBottom w:val="0"/>
                          <w:divBdr>
                            <w:top w:val="none" w:sz="0" w:space="0" w:color="auto"/>
                            <w:left w:val="none" w:sz="0" w:space="0" w:color="auto"/>
                            <w:bottom w:val="none" w:sz="0" w:space="0" w:color="auto"/>
                            <w:right w:val="none" w:sz="0" w:space="0" w:color="auto"/>
                          </w:divBdr>
                          <w:divsChild>
                            <w:div w:id="364600095">
                              <w:marLeft w:val="0"/>
                              <w:marRight w:val="0"/>
                              <w:marTop w:val="0"/>
                              <w:marBottom w:val="0"/>
                              <w:divBdr>
                                <w:top w:val="none" w:sz="0" w:space="0" w:color="auto"/>
                                <w:left w:val="none" w:sz="0" w:space="0" w:color="auto"/>
                                <w:bottom w:val="none" w:sz="0" w:space="0" w:color="auto"/>
                                <w:right w:val="none" w:sz="0" w:space="0" w:color="auto"/>
                              </w:divBdr>
                              <w:divsChild>
                                <w:div w:id="21108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1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Collyer-Hamlin</dc:creator>
  <cp:keywords/>
  <dc:description/>
  <cp:lastModifiedBy>Jozsef Gecsei</cp:lastModifiedBy>
  <cp:revision>2</cp:revision>
  <dcterms:created xsi:type="dcterms:W3CDTF">2021-04-13T15:18:00Z</dcterms:created>
  <dcterms:modified xsi:type="dcterms:W3CDTF">2021-04-13T15:18:00Z</dcterms:modified>
</cp:coreProperties>
</file>